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6CA">
      <w:pPr>
        <w:pStyle w:val="76"/>
        <w:rPr>
          <w:color w:val="auto"/>
        </w:rPr>
      </w:pPr>
      <w:r>
        <w:rPr>
          <w:rFonts w:ascii="Times New Roman"/>
          <w:color w:val="auto"/>
        </w:rPr>
        <w:t>ICS</w:t>
      </w:r>
      <w:r>
        <w:rPr>
          <w:rFonts w:hint="eastAsia" w:ascii="MS Mincho" w:hAnsi="MS Mincho" w:eastAsia="MS Mincho" w:cs="MS Mincho"/>
          <w:color w:val="auto"/>
        </w:rPr>
        <w:t> </w:t>
      </w:r>
      <w:r>
        <w:rPr>
          <w:color w:val="auto"/>
        </w:rPr>
        <w:fldChar w:fldCharType="begin">
          <w:ffData>
            <w:name w:val="ICS"/>
            <w:enabled/>
            <w:calcOnExit w:val="0"/>
            <w:helpText w:type="text" w:val="请输入正确的ICS号："/>
            <w:textInput/>
          </w:ffData>
        </w:fldChar>
      </w:r>
      <w:r>
        <w:rPr>
          <w:color w:val="auto"/>
        </w:rPr>
        <w:instrText xml:space="preserve"> </w:instrText>
      </w:r>
      <w:bookmarkStart w:id="0" w:name="ICS"/>
      <w:r>
        <w:rPr>
          <w:color w:val="auto"/>
        </w:rPr>
        <w:instrText xml:space="preserve">FORMTEXT </w:instrText>
      </w:r>
      <w:r>
        <w:rPr>
          <w:color w:val="auto"/>
        </w:rPr>
        <w:fldChar w:fldCharType="separate"/>
      </w:r>
      <w:r>
        <w:rPr>
          <w:rFonts w:hint="eastAsia"/>
          <w:color w:val="auto"/>
          <w:lang w:val="en-US" w:eastAsia="zh-CN"/>
        </w:rPr>
        <w:t>65.020.20</w:t>
      </w:r>
      <w:r>
        <w:rPr>
          <w:color w:val="auto"/>
        </w:rPr>
        <w:t>   </w:t>
      </w:r>
      <w:r>
        <w:rPr>
          <w:color w:val="auto"/>
        </w:rPr>
        <w:fldChar w:fldCharType="end"/>
      </w:r>
      <w:bookmarkEnd w:id="0"/>
    </w:p>
    <w:p w14:paraId="71B1C436">
      <w:pPr>
        <w:pStyle w:val="76"/>
        <w:rPr>
          <w:rFonts w:hint="default" w:eastAsia="黑体"/>
          <w:color w:val="auto"/>
          <w:lang w:val="en-US" w:eastAsia="zh-CN"/>
        </w:rPr>
      </w:pPr>
      <w:r>
        <w:rPr>
          <w:color w:val="auto"/>
        </w:rPr>
        <w:fldChar w:fldCharType="begin">
          <w:ffData>
            <w:name w:val="WXFLH"/>
            <w:enabled/>
            <w:calcOnExit w:val="0"/>
            <w:helpText w:type="text" w:val="请输入中国标准文献分类号："/>
            <w:textInput>
              <w:default w:val="B "/>
            </w:textInput>
          </w:ffData>
        </w:fldChar>
      </w:r>
      <w:r>
        <w:rPr>
          <w:color w:val="auto"/>
        </w:rPr>
        <w:instrText xml:space="preserve"> </w:instrText>
      </w:r>
      <w:bookmarkStart w:id="1" w:name="WXFLH"/>
      <w:r>
        <w:rPr>
          <w:color w:val="auto"/>
        </w:rPr>
        <w:instrText xml:space="preserve">FORMTEXT </w:instrText>
      </w:r>
      <w:r>
        <w:rPr>
          <w:color w:val="auto"/>
        </w:rPr>
        <w:fldChar w:fldCharType="separate"/>
      </w:r>
      <w:r>
        <w:rPr>
          <w:color w:val="auto"/>
        </w:rPr>
        <w:t xml:space="preserve">B </w:t>
      </w:r>
      <w:r>
        <w:rPr>
          <w:color w:val="auto"/>
        </w:rPr>
        <w:fldChar w:fldCharType="end"/>
      </w:r>
      <w:bookmarkEnd w:id="1"/>
      <w:r>
        <w:rPr>
          <w:rFonts w:hint="eastAsia"/>
          <w:color w:val="auto"/>
          <w:lang w:val="en-US" w:eastAsia="zh-CN"/>
        </w:rPr>
        <w:t>38</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294AA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noWrap w:val="0"/>
            <w:vAlign w:val="top"/>
          </w:tcPr>
          <w:p w14:paraId="13945C4E">
            <w:pPr>
              <w:pStyle w:val="76"/>
              <w:rPr>
                <w:color w:val="auto"/>
              </w:rPr>
            </w:pPr>
            <w:r>
              <w:rPr>
                <w:color w:val="auto"/>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0AC1B80A"/>
                              </w:txbxContent>
                            </wps:txbx>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MHi27UBAAByAwAADgAAAGRycy9lMm9Eb2MueG1srVNNb9sw&#10;DL0P2H8QdF8cB1u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gMHi27UBAAByAwAADgAAAAAAAAABACAAAAAkAQAAZHJzL2Uyb0RvYy54bWxQSwUGAAAAAAYA&#10;BgBZAQAASwUAAAAA&#10;">
                      <v:fill on="t" focussize="0,0"/>
                      <v:stroke on="f"/>
                      <v:imagedata o:title=""/>
                      <o:lock v:ext="edit" aspectratio="f"/>
                      <v:textbox>
                        <w:txbxContent>
                          <w:p w14:paraId="0AC1B80A"/>
                        </w:txbxContent>
                      </v:textbox>
                    </v:rect>
                  </w:pict>
                </mc:Fallback>
              </mc:AlternateContent>
            </w:r>
            <w:r>
              <w:rPr>
                <w:color w:val="auto"/>
              </w:rPr>
              <w:fldChar w:fldCharType="begin">
                <w:ffData>
                  <w:name w:val="BAH"/>
                  <w:enabled/>
                  <w:calcOnExit w:val="0"/>
                  <w:textInput/>
                </w:ffData>
              </w:fldChar>
            </w:r>
            <w:bookmarkStart w:id="2" w:name="BAH"/>
            <w:r>
              <w:rPr>
                <w:color w:val="auto"/>
              </w:rPr>
              <w:instrText xml:space="preserve"> FORMTEXT </w:instrText>
            </w:r>
            <w:r>
              <w:rPr>
                <w:color w:val="auto"/>
              </w:rPr>
              <w:fldChar w:fldCharType="separate"/>
            </w:r>
            <w:r>
              <w:rPr>
                <w:color w:val="auto"/>
              </w:rPr>
              <w:t>     </w:t>
            </w:r>
            <w:r>
              <w:rPr>
                <w:color w:val="auto"/>
              </w:rPr>
              <w:fldChar w:fldCharType="end"/>
            </w:r>
            <w:bookmarkEnd w:id="2"/>
          </w:p>
        </w:tc>
      </w:tr>
    </w:tbl>
    <w:p w14:paraId="0B7B0C08">
      <w:pPr>
        <w:pStyle w:val="92"/>
        <w:rPr>
          <w:color w:val="auto"/>
        </w:rPr>
      </w:pPr>
      <w:r>
        <w:rPr>
          <w:color w:val="auto"/>
        </w:rPr>
        <w:t>DB</w:t>
      </w:r>
      <w:bookmarkStart w:id="3" w:name="c3"/>
      <w:r>
        <w:rPr>
          <w:color w:val="auto"/>
        </w:rPr>
        <w:fldChar w:fldCharType="begin">
          <w:ffData>
            <w:name w:val="c3"/>
            <w:enabled/>
            <w:calcOnExit w:val="0"/>
            <w:textInput>
              <w:maxLength w:val="2"/>
            </w:textInput>
          </w:ffData>
        </w:fldChar>
      </w:r>
      <w:r>
        <w:rPr>
          <w:color w:val="auto"/>
        </w:rPr>
        <w:instrText xml:space="preserve"> FORMTEXT </w:instrText>
      </w:r>
      <w:r>
        <w:rPr>
          <w:color w:val="auto"/>
        </w:rPr>
        <w:fldChar w:fldCharType="separate"/>
      </w:r>
      <w:r>
        <w:rPr>
          <w:rFonts w:hint="eastAsia"/>
          <w:color w:val="auto"/>
        </w:rPr>
        <w:t>36</w:t>
      </w:r>
      <w:r>
        <w:rPr>
          <w:color w:val="auto"/>
        </w:rPr>
        <w:fldChar w:fldCharType="end"/>
      </w:r>
      <w:bookmarkEnd w:id="3"/>
    </w:p>
    <w:p w14:paraId="098DBBFC">
      <w:pPr>
        <w:pStyle w:val="137"/>
        <w:rPr>
          <w:color w:val="auto"/>
        </w:rPr>
      </w:pPr>
      <w:bookmarkStart w:id="4" w:name="c4"/>
      <w:r>
        <w:rPr>
          <w:color w:val="auto"/>
        </w:rPr>
        <w:fldChar w:fldCharType="begin">
          <w:ffData>
            <w:name w:val="c4"/>
            <w:enabled/>
            <w:calcOnExit w:val="0"/>
            <w:textInput/>
          </w:ffData>
        </w:fldChar>
      </w:r>
      <w:r>
        <w:rPr>
          <w:color w:val="auto"/>
        </w:rPr>
        <w:instrText xml:space="preserve"> FORMTEXT </w:instrText>
      </w:r>
      <w:r>
        <w:rPr>
          <w:color w:val="auto"/>
        </w:rPr>
        <w:fldChar w:fldCharType="separate"/>
      </w:r>
      <w:r>
        <w:rPr>
          <w:rFonts w:hint="eastAsia"/>
          <w:color w:val="auto"/>
        </w:rPr>
        <w:t>江西省</w:t>
      </w:r>
      <w:r>
        <w:rPr>
          <w:color w:val="auto"/>
        </w:rPr>
        <w:fldChar w:fldCharType="end"/>
      </w:r>
      <w:bookmarkEnd w:id="4"/>
      <w:r>
        <w:rPr>
          <w:rFonts w:hint="eastAsia"/>
          <w:color w:val="auto"/>
        </w:rPr>
        <w:t>地方标准</w:t>
      </w:r>
    </w:p>
    <w:p w14:paraId="03228BFD">
      <w:pPr>
        <w:pStyle w:val="81"/>
        <w:rPr>
          <w:rFonts w:hint="default" w:hAnsi="黑体" w:eastAsia="黑体"/>
          <w:color w:val="auto"/>
          <w:lang w:val="en-US" w:eastAsia="zh-CN"/>
        </w:rPr>
      </w:pPr>
      <w:r>
        <w:rPr>
          <w:rFonts w:ascii="Times New Roman"/>
          <w:color w:val="auto"/>
        </w:rPr>
        <w:t xml:space="preserve">DB </w:t>
      </w:r>
      <w:bookmarkStart w:id="5" w:name="StdNo0"/>
      <w:r>
        <w:rPr>
          <w:rFonts w:hAnsi="黑体"/>
          <w:color w:val="auto"/>
        </w:rPr>
        <w:fldChar w:fldCharType="begin">
          <w:ffData>
            <w:name w:val="StdNo0"/>
            <w:enabled/>
            <w:calcOnExit w:val="0"/>
            <w:textInput>
              <w:default w:val="XX"/>
              <w:maxLength w:val="2"/>
            </w:textInput>
          </w:ffData>
        </w:fldChar>
      </w:r>
      <w:r>
        <w:rPr>
          <w:rFonts w:hAnsi="黑体"/>
          <w:color w:val="auto"/>
        </w:rPr>
        <w:instrText xml:space="preserve"> FORMTEXT </w:instrText>
      </w:r>
      <w:r>
        <w:rPr>
          <w:rFonts w:hAnsi="黑体"/>
          <w:color w:val="auto"/>
        </w:rPr>
        <w:fldChar w:fldCharType="separate"/>
      </w:r>
      <w:r>
        <w:rPr>
          <w:rFonts w:hint="eastAsia" w:hAnsi="黑体"/>
          <w:color w:val="auto"/>
        </w:rPr>
        <w:t>36</w:t>
      </w:r>
      <w:r>
        <w:rPr>
          <w:rFonts w:hAnsi="黑体"/>
          <w:color w:val="auto"/>
        </w:rPr>
        <w:fldChar w:fldCharType="end"/>
      </w:r>
      <w:bookmarkEnd w:id="5"/>
      <w:r>
        <w:rPr>
          <w:rFonts w:hAnsi="黑体"/>
          <w:color w:val="auto"/>
        </w:rPr>
        <w:t>/</w:t>
      </w:r>
      <w:r>
        <w:rPr>
          <w:rFonts w:hint="eastAsia" w:hAnsi="黑体"/>
          <w:color w:val="auto"/>
          <w:lang w:val="en-US" w:eastAsia="zh-CN"/>
        </w:rPr>
        <w:t>T</w:t>
      </w:r>
      <w:r>
        <w:rPr>
          <w:rFonts w:hAnsi="黑体"/>
          <w:color w:val="auto"/>
        </w:rPr>
        <w:t xml:space="preserve"> </w:t>
      </w:r>
      <w:r>
        <w:rPr>
          <w:rFonts w:hint="eastAsia" w:hAnsi="黑体"/>
          <w:color w:val="auto"/>
          <w:lang w:val="en-US" w:eastAsia="zh-CN"/>
        </w:rPr>
        <w:t>1467</w:t>
      </w:r>
      <w:r>
        <w:rPr>
          <w:rFonts w:hAnsi="黑体"/>
          <w:color w:val="auto"/>
        </w:rPr>
        <w:t>—</w:t>
      </w:r>
      <w:r>
        <w:rPr>
          <w:rFonts w:hint="eastAsia" w:hAnsi="黑体"/>
          <w:color w:val="auto"/>
          <w:lang w:val="en-US" w:eastAsia="zh-CN"/>
        </w:rPr>
        <w:t>2021</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E1A2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05061CBB">
            <w:pPr>
              <w:pStyle w:val="122"/>
              <w:rPr>
                <w:color w:val="auto"/>
              </w:rPr>
            </w:pPr>
            <w:bookmarkStart w:id="6" w:name="DT"/>
            <w:r>
              <w:rPr>
                <w:color w:val="auto"/>
              </w:rPr>
              <w:fldChar w:fldCharType="begin">
                <w:ffData>
                  <w:name w:val="DT"/>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6"/>
          </w:p>
        </w:tc>
      </w:tr>
    </w:tbl>
    <w:p w14:paraId="4FF4C798">
      <w:pPr>
        <w:pStyle w:val="81"/>
        <w:rPr>
          <w:rFonts w:hAnsi="黑体"/>
          <w:color w:val="auto"/>
        </w:rPr>
      </w:pPr>
    </w:p>
    <w:p w14:paraId="34B46CD9">
      <w:pPr>
        <w:pStyle w:val="81"/>
        <w:rPr>
          <w:rFonts w:hAnsi="黑体"/>
          <w:color w:val="auto"/>
        </w:rPr>
      </w:pPr>
    </w:p>
    <w:p w14:paraId="75167049">
      <w:pPr>
        <w:pStyle w:val="51"/>
        <w:rPr>
          <w:color w:val="auto"/>
        </w:rPr>
      </w:pPr>
      <w:bookmarkStart w:id="7" w:name="StdName"/>
      <w:r>
        <w:rPr>
          <w:color w:val="auto"/>
        </w:rPr>
        <w:fldChar w:fldCharType="begin">
          <w:ffData>
            <w:name w:val="StdName"/>
            <w:enabled/>
            <w:calcOnExit w:val="0"/>
            <w:textInput>
              <w:default w:val="点击此处添加标准名称"/>
            </w:textInput>
          </w:ffData>
        </w:fldChar>
      </w:r>
      <w:r>
        <w:rPr>
          <w:color w:val="auto"/>
        </w:rPr>
        <w:instrText xml:space="preserve"> FORMTEXT </w:instrText>
      </w:r>
      <w:r>
        <w:rPr>
          <w:color w:val="auto"/>
        </w:rPr>
        <w:fldChar w:fldCharType="separate"/>
      </w:r>
      <w:r>
        <w:rPr>
          <w:rFonts w:hint="eastAsia"/>
          <w:color w:val="auto"/>
        </w:rPr>
        <w:t>地理标志产品 清江枳壳</w:t>
      </w:r>
      <w:r>
        <w:rPr>
          <w:color w:val="auto"/>
        </w:rPr>
        <w:fldChar w:fldCharType="end"/>
      </w:r>
      <w:bookmarkEnd w:id="7"/>
    </w:p>
    <w:p w14:paraId="50216B54">
      <w:pPr>
        <w:pStyle w:val="50"/>
        <w:rPr>
          <w:color w:val="auto"/>
        </w:rPr>
      </w:pPr>
      <w:bookmarkStart w:id="8" w:name="StdEnglishName"/>
      <w:r>
        <w:rPr>
          <w:color w:val="auto"/>
        </w:rPr>
        <w:fldChar w:fldCharType="begin">
          <w:ffData>
            <w:name w:val="StdEnglishName"/>
            <w:enabled/>
            <w:calcOnExit w:val="0"/>
            <w:textInput>
              <w:default w:val="点击此处添加标准英文译名"/>
            </w:textInput>
          </w:ffData>
        </w:fldChar>
      </w:r>
      <w:r>
        <w:rPr>
          <w:color w:val="auto"/>
        </w:rPr>
        <w:instrText xml:space="preserve"> FORMTEXT </w:instrText>
      </w:r>
      <w:r>
        <w:rPr>
          <w:color w:val="auto"/>
        </w:rPr>
        <w:fldChar w:fldCharType="separate"/>
      </w:r>
      <w:r>
        <w:rPr>
          <w:color w:val="auto"/>
        </w:rPr>
        <w:t>Product of geographical indication-Qingjiang aurantii fructus</w:t>
      </w:r>
      <w:r>
        <w:rPr>
          <w:color w:val="auto"/>
        </w:rPr>
        <w:fldChar w:fldCharType="end"/>
      </w:r>
      <w:bookmarkEnd w:id="8"/>
    </w:p>
    <w:p w14:paraId="014A896F">
      <w:pPr>
        <w:pStyle w:val="55"/>
        <w:rPr>
          <w:color w:val="auto"/>
        </w:rPr>
      </w:pPr>
      <w:bookmarkStart w:id="9" w:name="YZBS"/>
      <w:r>
        <w:rPr>
          <w:color w:val="auto"/>
        </w:rPr>
        <w:fldChar w:fldCharType="begin">
          <w:ffData>
            <w:name w:val="YZBS"/>
            <w:enabled/>
            <w:calcOnExit w:val="0"/>
            <w:textInput>
              <w:default w:val="点击此处添加与国际标准一致性程度的标识"/>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9"/>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232A9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4929B8A">
            <w:pPr>
              <w:pStyle w:val="54"/>
              <w:rPr>
                <w:color w:val="auto"/>
              </w:rPr>
            </w:pPr>
            <w:r>
              <w:rPr>
                <w:color w:val="auto"/>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5DA59FBC"/>
                              </w:txbxContent>
                            </wps:txbx>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X9+DX&#10;AAAACwEAAA8AAAAAAAAAAQAgAAAAIgAAAGRycy9kb3ducmV2LnhtbFBLAQIUABQAAAAIAIdO4kC9&#10;S8M4rwEAAHIDAAAOAAAAAAAAAAEAIAAAACYBAABkcnMvZTJvRG9jLnhtbFBLBQYAAAAABgAGAFkB&#10;AABHBQAAAAA=&#10;">
                      <v:fill on="t" focussize="0,0"/>
                      <v:stroke on="f"/>
                      <v:imagedata o:title=""/>
                      <o:lock v:ext="edit" aspectratio="f"/>
                      <v:textbox>
                        <w:txbxContent>
                          <w:p w14:paraId="5DA59FBC"/>
                        </w:txbxContent>
                      </v:textbox>
                      <w10:anchorlock/>
                    </v:rect>
                  </w:pict>
                </mc:Fallback>
              </mc:AlternateContent>
            </w:r>
            <w:r>
              <w:rPr>
                <w:color w:val="auto"/>
              </w:rP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0" w:name="LB"/>
            <w:r>
              <w:rPr>
                <w:color w:val="auto"/>
              </w:rPr>
              <w:instrText xml:space="preserve"> FORMDROPDOWN </w:instrText>
            </w:r>
            <w:r>
              <w:rPr>
                <w:color w:val="auto"/>
              </w:rPr>
              <w:fldChar w:fldCharType="separate"/>
            </w:r>
            <w:r>
              <w:rPr>
                <w:color w:val="auto"/>
              </w:rPr>
              <w:fldChar w:fldCharType="end"/>
            </w:r>
            <w:bookmarkEnd w:id="10"/>
          </w:p>
        </w:tc>
      </w:tr>
      <w:tr w14:paraId="40C63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7FB0A8EB">
            <w:pPr>
              <w:pStyle w:val="53"/>
              <w:rPr>
                <w:color w:val="auto"/>
              </w:rPr>
            </w:pPr>
            <w:bookmarkStart w:id="11" w:name="WCRQ"/>
            <w:r>
              <w:rPr>
                <w:color w:val="auto"/>
              </w:rPr>
              <w:fldChar w:fldCharType="begin">
                <w:ffData>
                  <w:name w:val="WCRQ"/>
                  <w:enabled/>
                  <w:calcOnExit w:val="0"/>
                  <w:textInput/>
                </w:ffData>
              </w:fldChar>
            </w:r>
            <w:r>
              <w:rPr>
                <w:color w:val="auto"/>
              </w:rPr>
              <w:instrText xml:space="preserve"> FORMTEXT </w:instrText>
            </w:r>
            <w:r>
              <w:rPr>
                <w:color w:val="auto"/>
              </w:rPr>
              <w:fldChar w:fldCharType="separate"/>
            </w:r>
            <w:r>
              <w:rPr>
                <w:rFonts w:hint="eastAsia"/>
                <w:color w:val="auto"/>
              </w:rPr>
              <w:t>（本稿完成日期：）</w:t>
            </w:r>
            <w:r>
              <w:rPr>
                <w:color w:val="auto"/>
              </w:rPr>
              <w:fldChar w:fldCharType="end"/>
            </w:r>
            <w:bookmarkEnd w:id="11"/>
          </w:p>
        </w:tc>
      </w:tr>
    </w:tbl>
    <w:p w14:paraId="0835FBC2">
      <w:pPr>
        <w:pStyle w:val="94"/>
        <w:rPr>
          <w:color w:val="auto"/>
        </w:rPr>
      </w:pPr>
      <w:r>
        <w:rPr>
          <w:rFonts w:hint="eastAsia" w:ascii="黑体"/>
          <w:color w:val="auto"/>
          <w:lang w:val="en-US" w:eastAsia="zh-CN"/>
        </w:rPr>
        <w:t>2021</w:t>
      </w:r>
      <w:r>
        <w:rPr>
          <w:color w:val="auto"/>
        </w:rPr>
        <w:t xml:space="preserve"> </w:t>
      </w:r>
      <w:r>
        <w:rPr>
          <w:rFonts w:ascii="黑体"/>
          <w:color w:val="auto"/>
        </w:rPr>
        <w:t>-</w:t>
      </w:r>
      <w:r>
        <w:rPr>
          <w:color w:val="auto"/>
        </w:rPr>
        <w:t xml:space="preserve"> </w:t>
      </w:r>
      <w:r>
        <w:rPr>
          <w:rFonts w:hint="eastAsia" w:ascii="黑体"/>
          <w:color w:val="auto"/>
          <w:lang w:val="en-US" w:eastAsia="zh-CN"/>
        </w:rPr>
        <w:t>09</w:t>
      </w:r>
      <w:r>
        <w:rPr>
          <w:color w:val="auto"/>
        </w:rPr>
        <w:t xml:space="preserve"> </w:t>
      </w:r>
      <w:r>
        <w:rPr>
          <w:rFonts w:ascii="黑体"/>
          <w:color w:val="auto"/>
        </w:rPr>
        <w:t>-</w:t>
      </w:r>
      <w:r>
        <w:rPr>
          <w:color w:val="auto"/>
        </w:rPr>
        <w:t xml:space="preserve"> </w:t>
      </w:r>
      <w:r>
        <w:rPr>
          <w:rFonts w:hint="eastAsia" w:ascii="黑体"/>
          <w:color w:val="auto"/>
          <w:lang w:val="en-US" w:eastAsia="zh-CN"/>
        </w:rPr>
        <w:t>03</w:t>
      </w:r>
      <w:r>
        <w:rPr>
          <w:rFonts w:hint="eastAsia"/>
          <w:color w:val="auto"/>
        </w:rPr>
        <w:t>发布</w:t>
      </w:r>
      <w:r>
        <w:rPr>
          <w:color w:val="auto"/>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p w14:paraId="6CBF1180">
      <w:pPr>
        <w:pStyle w:val="124"/>
        <w:rPr>
          <w:color w:val="auto"/>
        </w:rPr>
      </w:pPr>
      <w:r>
        <w:rPr>
          <w:rFonts w:hint="eastAsia" w:ascii="黑体"/>
          <w:color w:val="auto"/>
          <w:lang w:val="en-US" w:eastAsia="zh-CN"/>
        </w:rPr>
        <w:t>2022</w:t>
      </w:r>
      <w:r>
        <w:rPr>
          <w:color w:val="auto"/>
        </w:rPr>
        <w:t xml:space="preserve"> </w:t>
      </w:r>
      <w:r>
        <w:rPr>
          <w:rFonts w:ascii="黑体"/>
          <w:color w:val="auto"/>
        </w:rPr>
        <w:t>-</w:t>
      </w:r>
      <w:r>
        <w:rPr>
          <w:color w:val="auto"/>
        </w:rPr>
        <w:t xml:space="preserve"> </w:t>
      </w:r>
      <w:r>
        <w:rPr>
          <w:rFonts w:hint="eastAsia" w:ascii="黑体"/>
          <w:color w:val="auto"/>
          <w:lang w:val="en-US" w:eastAsia="zh-CN"/>
        </w:rPr>
        <w:t>03</w:t>
      </w:r>
      <w:r>
        <w:rPr>
          <w:color w:val="auto"/>
        </w:rPr>
        <w:t xml:space="preserve"> </w:t>
      </w:r>
      <w:r>
        <w:rPr>
          <w:rFonts w:ascii="黑体"/>
          <w:color w:val="auto"/>
        </w:rPr>
        <w:t>-</w:t>
      </w:r>
      <w:r>
        <w:rPr>
          <w:color w:val="auto"/>
        </w:rPr>
        <w:t xml:space="preserve"> </w:t>
      </w:r>
      <w:r>
        <w:rPr>
          <w:rFonts w:hint="eastAsia" w:ascii="黑体"/>
          <w:color w:val="auto"/>
          <w:lang w:val="en-US" w:eastAsia="zh-CN"/>
        </w:rPr>
        <w:t>01</w:t>
      </w:r>
      <w:r>
        <w:rPr>
          <w:rFonts w:hint="eastAsia"/>
          <w:color w:val="auto"/>
        </w:rPr>
        <w:t>实施</w:t>
      </w:r>
    </w:p>
    <w:p w14:paraId="302AA71B">
      <w:pPr>
        <w:pStyle w:val="110"/>
        <w:rPr>
          <w:color w:val="auto"/>
        </w:rPr>
      </w:pPr>
      <w:bookmarkStart w:id="12" w:name="fm"/>
      <w:r>
        <w:rPr>
          <w:color w:val="auto"/>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07325BC2"/>
                        </w:txbxContent>
                      </wps:txbx>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bXu&#10;1tkAAAANAQAADwAAAAAAAAABACAAAAAiAAAAZHJzL2Rvd25yZXYueG1sUEsBAhQAFAAAAAgAh07i&#10;QF0PpQGvAQAAcgMAAA4AAAAAAAAAAQAgAAAAKAEAAGRycy9lMm9Eb2MueG1sUEsFBgAAAAAGAAYA&#10;WQEAAEkFAAAAAA==&#10;">
                <v:fill on="t" focussize="0,0"/>
                <v:stroke on="f"/>
                <v:imagedata o:title=""/>
                <o:lock v:ext="edit" aspectratio="f"/>
                <v:textbox>
                  <w:txbxContent>
                    <w:p w14:paraId="07325BC2"/>
                  </w:txbxContent>
                </v:textbox>
              </v:rect>
            </w:pict>
          </mc:Fallback>
        </mc:AlternateContent>
      </w:r>
      <w:r>
        <w:rPr>
          <w:color w:val="auto"/>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008D2A10"/>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14:paraId="008D2A10"/>
                  </w:txbxContent>
                </v:textbox>
              </v:rect>
            </w:pict>
          </mc:Fallback>
        </mc:AlternateContent>
      </w:r>
      <w:r>
        <w:rPr>
          <w:color w:val="auto"/>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B&#10;DqeS5wEAANwDAAAOAAAAAAAAAAEAIAAAACcBAABkcnMvZTJvRG9jLnhtbFBLBQYAAAAABgAGAFkB&#10;AACABQAAAAA=&#10;">
                <v:fill on="f" focussize="0,0"/>
                <v:stroke color="#000000" joinstyle="round"/>
                <v:imagedata o:title=""/>
                <o:lock v:ext="edit" aspectratio="f"/>
              </v:line>
            </w:pict>
          </mc:Fallback>
        </mc:AlternateContent>
      </w:r>
      <w:r>
        <w:rPr>
          <w:color w:val="auto"/>
        </w:rPr>
        <w:fldChar w:fldCharType="begin">
          <w:ffData>
            <w:name w:val="fm"/>
            <w:enabled/>
            <w:calcOnExit w:val="0"/>
            <w:textInput/>
          </w:ffData>
        </w:fldChar>
      </w:r>
      <w:r>
        <w:rPr>
          <w:color w:val="auto"/>
        </w:rPr>
        <w:instrText xml:space="preserve"> FORMTEXT </w:instrText>
      </w:r>
      <w:r>
        <w:rPr>
          <w:color w:val="auto"/>
        </w:rPr>
        <w:fldChar w:fldCharType="separate"/>
      </w:r>
      <w:r>
        <w:rPr>
          <w:rFonts w:hint="eastAsia"/>
          <w:color w:val="auto"/>
        </w:rPr>
        <w:t>江西省市场监督管理局</w:t>
      </w:r>
      <w:r>
        <w:rPr>
          <w:color w:val="auto"/>
        </w:rPr>
        <w:fldChar w:fldCharType="end"/>
      </w:r>
      <w:bookmarkEnd w:id="12"/>
      <w:r>
        <w:rPr>
          <w:rFonts w:hAnsi="黑体"/>
          <w:color w:val="auto"/>
        </w:rPr>
        <w:t>   </w:t>
      </w:r>
      <w:r>
        <w:rPr>
          <w:rStyle w:val="44"/>
          <w:rFonts w:hint="eastAsia"/>
          <w:color w:val="auto"/>
        </w:rPr>
        <w:t>发布</w:t>
      </w:r>
    </w:p>
    <w:p w14:paraId="2405DFA4">
      <w:pPr>
        <w:pStyle w:val="23"/>
        <w:rPr>
          <w:color w:val="auto"/>
        </w:rPr>
        <w:sectPr>
          <w:headerReference r:id="rId3" w:type="even"/>
          <w:footerReference r:id="rId4" w:type="even"/>
          <w:pgSz w:w="11906" w:h="16838"/>
          <w:pgMar w:top="567" w:right="1134" w:bottom="1134" w:left="1417" w:header="0" w:footer="0" w:gutter="0"/>
          <w:pgNumType w:start="1"/>
          <w:cols w:space="720" w:num="1"/>
          <w:docGrid w:type="lines" w:linePitch="312" w:charSpace="0"/>
        </w:sectPr>
      </w:pPr>
    </w:p>
    <w:p w14:paraId="71B2611B">
      <w:pPr>
        <w:pStyle w:val="139"/>
        <w:rPr>
          <w:rFonts w:hint="eastAsia"/>
          <w:color w:val="auto"/>
        </w:rPr>
      </w:pPr>
      <w:bookmarkStart w:id="13" w:name="_Toc29824724"/>
      <w:bookmarkStart w:id="14" w:name="_Toc16758419"/>
      <w:bookmarkStart w:id="15" w:name="_Toc29475962"/>
      <w:bookmarkStart w:id="16" w:name="_Toc28088165"/>
      <w:bookmarkStart w:id="17" w:name="_Toc28088341"/>
      <w:r>
        <w:rPr>
          <w:rFonts w:hint="eastAsia"/>
          <w:color w:val="auto"/>
        </w:rPr>
        <w:t>目</w:t>
      </w:r>
      <w:bookmarkStart w:id="18" w:name="BKML"/>
      <w:r>
        <w:rPr>
          <w:rFonts w:hAnsi="黑体"/>
          <w:color w:val="auto"/>
        </w:rPr>
        <w:t>  </w:t>
      </w:r>
      <w:r>
        <w:rPr>
          <w:rFonts w:hint="eastAsia"/>
          <w:color w:val="auto"/>
        </w:rPr>
        <w:t>次</w:t>
      </w:r>
      <w:bookmarkEnd w:id="18"/>
    </w:p>
    <w:p w14:paraId="6E3B2EB1">
      <w:pPr>
        <w:pStyle w:val="19"/>
        <w:spacing w:before="78" w:after="78"/>
        <w:rPr>
          <w:rFonts w:ascii="等线" w:hAnsi="等线" w:eastAsia="等线"/>
          <w:color w:val="auto"/>
          <w:szCs w:val="22"/>
        </w:rPr>
      </w:pPr>
      <w:r>
        <w:rPr>
          <w:color w:val="auto"/>
        </w:rPr>
        <w:fldChar w:fldCharType="begin" w:fldLock="1"/>
      </w:r>
      <w:r>
        <w:rPr>
          <w:color w:val="auto"/>
        </w:rPr>
        <w:instrText xml:space="preserve"> </w:instrText>
      </w:r>
      <w:r>
        <w:rPr>
          <w:rFonts w:hint="eastAsia"/>
          <w:color w:val="auto"/>
        </w:rPr>
        <w:instrText xml:space="preserve">TOC \h \z \t"前言、引言标题,1,参考文献、索引标题,1,章标题,1,参考文献,1,附录标识,1" \* MERGEFORMAT</w:instrText>
      </w:r>
      <w:r>
        <w:rPr>
          <w:color w:val="auto"/>
        </w:rPr>
        <w:instrText xml:space="preserve"> </w:instrText>
      </w:r>
      <w:r>
        <w:rPr>
          <w:color w:val="auto"/>
        </w:rPr>
        <w:fldChar w:fldCharType="separate"/>
      </w:r>
      <w:r>
        <w:rPr>
          <w:rStyle w:val="38"/>
          <w:color w:val="auto"/>
        </w:rPr>
        <w:fldChar w:fldCharType="begin" w:fldLock="1"/>
      </w:r>
      <w:r>
        <w:rPr>
          <w:rStyle w:val="38"/>
          <w:color w:val="auto"/>
        </w:rPr>
        <w:instrText xml:space="preserve"> </w:instrText>
      </w:r>
      <w:r>
        <w:rPr>
          <w:color w:val="auto"/>
        </w:rPr>
        <w:instrText xml:space="preserve">HYPERLINK \l "_Toc66283685"</w:instrText>
      </w:r>
      <w:r>
        <w:rPr>
          <w:rStyle w:val="38"/>
          <w:color w:val="auto"/>
        </w:rPr>
        <w:instrText xml:space="preserve"> </w:instrText>
      </w:r>
      <w:r>
        <w:rPr>
          <w:rStyle w:val="38"/>
          <w:color w:val="auto"/>
        </w:rPr>
        <w:fldChar w:fldCharType="separate"/>
      </w:r>
      <w:r>
        <w:rPr>
          <w:rStyle w:val="38"/>
          <w:color w:val="auto"/>
        </w:rPr>
        <w:t>前言</w:t>
      </w:r>
      <w:r>
        <w:rPr>
          <w:color w:val="auto"/>
        </w:rPr>
        <w:tab/>
      </w:r>
      <w:r>
        <w:rPr>
          <w:color w:val="auto"/>
        </w:rPr>
        <w:fldChar w:fldCharType="begin" w:fldLock="1"/>
      </w:r>
      <w:r>
        <w:rPr>
          <w:color w:val="auto"/>
        </w:rPr>
        <w:instrText xml:space="preserve"> PAGEREF _Toc66283685 \h </w:instrText>
      </w:r>
      <w:r>
        <w:rPr>
          <w:color w:val="auto"/>
        </w:rPr>
        <w:fldChar w:fldCharType="separate"/>
      </w:r>
      <w:r>
        <w:rPr>
          <w:color w:val="auto"/>
        </w:rPr>
        <w:t>II</w:t>
      </w:r>
      <w:r>
        <w:rPr>
          <w:color w:val="auto"/>
        </w:rPr>
        <w:fldChar w:fldCharType="end"/>
      </w:r>
      <w:r>
        <w:rPr>
          <w:rStyle w:val="38"/>
          <w:color w:val="auto"/>
        </w:rPr>
        <w:fldChar w:fldCharType="end"/>
      </w:r>
    </w:p>
    <w:p w14:paraId="6760AC03">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"_Toc66283686"</w:instrText>
      </w:r>
      <w:r>
        <w:rPr>
          <w:rStyle w:val="38"/>
          <w:color w:val="auto"/>
        </w:rPr>
        <w:instrText xml:space="preserve"> </w:instrText>
      </w:r>
      <w:r>
        <w:rPr>
          <w:rStyle w:val="38"/>
          <w:color w:val="auto"/>
        </w:rPr>
        <w:fldChar w:fldCharType="separate"/>
      </w:r>
      <w:r>
        <w:rPr>
          <w:rStyle w:val="38"/>
          <w:color w:val="auto"/>
        </w:rPr>
        <w:t>1　范围</w:t>
      </w:r>
      <w:r>
        <w:rPr>
          <w:color w:val="auto"/>
        </w:rPr>
        <w:tab/>
      </w:r>
      <w:r>
        <w:rPr>
          <w:color w:val="auto"/>
        </w:rPr>
        <w:fldChar w:fldCharType="begin" w:fldLock="1"/>
      </w:r>
      <w:r>
        <w:rPr>
          <w:color w:val="auto"/>
        </w:rPr>
        <w:instrText xml:space="preserve"> PAGEREF _Toc66283686 \h </w:instrText>
      </w:r>
      <w:r>
        <w:rPr>
          <w:color w:val="auto"/>
        </w:rPr>
        <w:fldChar w:fldCharType="separate"/>
      </w:r>
      <w:r>
        <w:rPr>
          <w:color w:val="auto"/>
        </w:rPr>
        <w:t>1</w:t>
      </w:r>
      <w:r>
        <w:rPr>
          <w:color w:val="auto"/>
        </w:rPr>
        <w:fldChar w:fldCharType="end"/>
      </w:r>
      <w:r>
        <w:rPr>
          <w:rStyle w:val="38"/>
          <w:color w:val="auto"/>
        </w:rPr>
        <w:fldChar w:fldCharType="end"/>
      </w:r>
    </w:p>
    <w:p w14:paraId="6EF6AE65">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"_Toc66283687"</w:instrText>
      </w:r>
      <w:r>
        <w:rPr>
          <w:rStyle w:val="38"/>
          <w:color w:val="auto"/>
        </w:rPr>
        <w:instrText xml:space="preserve"> </w:instrText>
      </w:r>
      <w:r>
        <w:rPr>
          <w:rStyle w:val="38"/>
          <w:color w:val="auto"/>
        </w:rPr>
        <w:fldChar w:fldCharType="separate"/>
      </w:r>
      <w:r>
        <w:rPr>
          <w:rStyle w:val="38"/>
          <w:color w:val="auto"/>
        </w:rPr>
        <w:t>2　规范性引用文件</w:t>
      </w:r>
      <w:r>
        <w:rPr>
          <w:color w:val="auto"/>
        </w:rPr>
        <w:tab/>
      </w:r>
      <w:r>
        <w:rPr>
          <w:color w:val="auto"/>
        </w:rPr>
        <w:fldChar w:fldCharType="begin" w:fldLock="1"/>
      </w:r>
      <w:r>
        <w:rPr>
          <w:color w:val="auto"/>
        </w:rPr>
        <w:instrText xml:space="preserve"> PAGEREF _Toc66283687 \h </w:instrText>
      </w:r>
      <w:r>
        <w:rPr>
          <w:color w:val="auto"/>
        </w:rPr>
        <w:fldChar w:fldCharType="separate"/>
      </w:r>
      <w:r>
        <w:rPr>
          <w:color w:val="auto"/>
        </w:rPr>
        <w:t>1</w:t>
      </w:r>
      <w:r>
        <w:rPr>
          <w:color w:val="auto"/>
        </w:rPr>
        <w:fldChar w:fldCharType="end"/>
      </w:r>
      <w:r>
        <w:rPr>
          <w:rStyle w:val="38"/>
          <w:color w:val="auto"/>
        </w:rPr>
        <w:fldChar w:fldCharType="end"/>
      </w:r>
    </w:p>
    <w:p w14:paraId="41A87313">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"_Toc66283688"</w:instrText>
      </w:r>
      <w:r>
        <w:rPr>
          <w:rStyle w:val="38"/>
          <w:color w:val="auto"/>
        </w:rPr>
        <w:instrText xml:space="preserve"> </w:instrText>
      </w:r>
      <w:r>
        <w:rPr>
          <w:rStyle w:val="38"/>
          <w:color w:val="auto"/>
        </w:rPr>
        <w:fldChar w:fldCharType="separate"/>
      </w:r>
      <w:r>
        <w:rPr>
          <w:rStyle w:val="38"/>
          <w:color w:val="auto"/>
        </w:rPr>
        <w:t>3　术语和定义</w:t>
      </w:r>
      <w:r>
        <w:rPr>
          <w:color w:val="auto"/>
        </w:rPr>
        <w:tab/>
      </w:r>
      <w:r>
        <w:rPr>
          <w:color w:val="auto"/>
        </w:rPr>
        <w:fldChar w:fldCharType="begin" w:fldLock="1"/>
      </w:r>
      <w:r>
        <w:rPr>
          <w:color w:val="auto"/>
        </w:rPr>
        <w:instrText xml:space="preserve"> PAGEREF _Toc66283688 \h </w:instrText>
      </w:r>
      <w:r>
        <w:rPr>
          <w:color w:val="auto"/>
        </w:rPr>
        <w:fldChar w:fldCharType="separate"/>
      </w:r>
      <w:r>
        <w:rPr>
          <w:color w:val="auto"/>
        </w:rPr>
        <w:t>1</w:t>
      </w:r>
      <w:r>
        <w:rPr>
          <w:color w:val="auto"/>
        </w:rPr>
        <w:fldChar w:fldCharType="end"/>
      </w:r>
      <w:r>
        <w:rPr>
          <w:rStyle w:val="38"/>
          <w:color w:val="auto"/>
        </w:rPr>
        <w:fldChar w:fldCharType="end"/>
      </w:r>
    </w:p>
    <w:p w14:paraId="2B36117D">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"_Toc66283689"</w:instrText>
      </w:r>
      <w:r>
        <w:rPr>
          <w:rStyle w:val="38"/>
          <w:color w:val="auto"/>
        </w:rPr>
        <w:instrText xml:space="preserve"> </w:instrText>
      </w:r>
      <w:r>
        <w:rPr>
          <w:rStyle w:val="38"/>
          <w:color w:val="auto"/>
        </w:rPr>
        <w:fldChar w:fldCharType="separate"/>
      </w:r>
      <w:r>
        <w:rPr>
          <w:rStyle w:val="38"/>
          <w:color w:val="auto"/>
        </w:rPr>
        <w:t>4　地理标志产品保护范围</w:t>
      </w:r>
      <w:r>
        <w:rPr>
          <w:color w:val="auto"/>
        </w:rPr>
        <w:tab/>
      </w:r>
      <w:r>
        <w:rPr>
          <w:rFonts w:hint="eastAsia"/>
          <w:color w:val="auto"/>
          <w:lang w:val="en-US" w:eastAsia="zh-CN"/>
        </w:rPr>
        <w:t>2</w:t>
      </w:r>
      <w:r>
        <w:rPr>
          <w:rStyle w:val="38"/>
          <w:color w:val="auto"/>
        </w:rPr>
        <w:fldChar w:fldCharType="end"/>
      </w:r>
    </w:p>
    <w:p w14:paraId="5E23927A">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"_Toc66283690"</w:instrText>
      </w:r>
      <w:r>
        <w:rPr>
          <w:rStyle w:val="38"/>
          <w:color w:val="auto"/>
        </w:rPr>
        <w:instrText xml:space="preserve"> </w:instrText>
      </w:r>
      <w:r>
        <w:rPr>
          <w:rStyle w:val="38"/>
          <w:color w:val="auto"/>
        </w:rPr>
        <w:fldChar w:fldCharType="separate"/>
      </w:r>
      <w:r>
        <w:rPr>
          <w:rStyle w:val="38"/>
          <w:color w:val="auto"/>
        </w:rPr>
        <w:t>5　要求</w:t>
      </w:r>
      <w:r>
        <w:rPr>
          <w:color w:val="auto"/>
        </w:rPr>
        <w:tab/>
      </w:r>
      <w:r>
        <w:rPr>
          <w:color w:val="auto"/>
        </w:rPr>
        <w:fldChar w:fldCharType="begin" w:fldLock="1"/>
      </w:r>
      <w:r>
        <w:rPr>
          <w:color w:val="auto"/>
        </w:rPr>
        <w:instrText xml:space="preserve"> PAGEREF _Toc66283690 \h </w:instrText>
      </w:r>
      <w:r>
        <w:rPr>
          <w:color w:val="auto"/>
        </w:rPr>
        <w:fldChar w:fldCharType="separate"/>
      </w:r>
      <w:r>
        <w:rPr>
          <w:color w:val="auto"/>
        </w:rPr>
        <w:t>2</w:t>
      </w:r>
      <w:r>
        <w:rPr>
          <w:color w:val="auto"/>
        </w:rPr>
        <w:fldChar w:fldCharType="end"/>
      </w:r>
      <w:r>
        <w:rPr>
          <w:rStyle w:val="38"/>
          <w:color w:val="auto"/>
        </w:rPr>
        <w:fldChar w:fldCharType="end"/>
      </w:r>
    </w:p>
    <w:p w14:paraId="58892933">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"_Toc66283691"</w:instrText>
      </w:r>
      <w:r>
        <w:rPr>
          <w:rStyle w:val="38"/>
          <w:color w:val="auto"/>
        </w:rPr>
        <w:instrText xml:space="preserve"> </w:instrText>
      </w:r>
      <w:r>
        <w:rPr>
          <w:rStyle w:val="38"/>
          <w:color w:val="auto"/>
        </w:rPr>
        <w:fldChar w:fldCharType="separate"/>
      </w:r>
      <w:r>
        <w:rPr>
          <w:rStyle w:val="38"/>
          <w:color w:val="auto"/>
        </w:rPr>
        <w:t>6　试验方法</w:t>
      </w:r>
      <w:r>
        <w:rPr>
          <w:color w:val="auto"/>
        </w:rPr>
        <w:tab/>
      </w:r>
      <w:r>
        <w:rPr>
          <w:color w:val="auto"/>
        </w:rPr>
        <w:fldChar w:fldCharType="begin" w:fldLock="1"/>
      </w:r>
      <w:r>
        <w:rPr>
          <w:color w:val="auto"/>
        </w:rPr>
        <w:instrText xml:space="preserve"> PAGEREF _Toc66283691 \h </w:instrText>
      </w:r>
      <w:r>
        <w:rPr>
          <w:color w:val="auto"/>
        </w:rPr>
        <w:fldChar w:fldCharType="separate"/>
      </w:r>
      <w:r>
        <w:rPr>
          <w:color w:val="auto"/>
        </w:rPr>
        <w:t>3</w:t>
      </w:r>
      <w:r>
        <w:rPr>
          <w:color w:val="auto"/>
        </w:rPr>
        <w:fldChar w:fldCharType="end"/>
      </w:r>
      <w:r>
        <w:rPr>
          <w:rStyle w:val="38"/>
          <w:color w:val="auto"/>
        </w:rPr>
        <w:fldChar w:fldCharType="end"/>
      </w:r>
    </w:p>
    <w:p w14:paraId="1B856457">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"_Toc66283692"</w:instrText>
      </w:r>
      <w:r>
        <w:rPr>
          <w:rStyle w:val="38"/>
          <w:color w:val="auto"/>
        </w:rPr>
        <w:instrText xml:space="preserve"> </w:instrText>
      </w:r>
      <w:r>
        <w:rPr>
          <w:rStyle w:val="38"/>
          <w:color w:val="auto"/>
        </w:rPr>
        <w:fldChar w:fldCharType="separate"/>
      </w:r>
      <w:r>
        <w:rPr>
          <w:rStyle w:val="38"/>
          <w:color w:val="auto"/>
        </w:rPr>
        <w:t>7　检测规则</w:t>
      </w:r>
      <w:r>
        <w:rPr>
          <w:color w:val="auto"/>
        </w:rPr>
        <w:tab/>
      </w:r>
      <w:r>
        <w:rPr>
          <w:rFonts w:hint="eastAsia"/>
          <w:color w:val="auto"/>
          <w:lang w:val="en-US" w:eastAsia="zh-CN"/>
        </w:rPr>
        <w:t>4</w:t>
      </w:r>
      <w:r>
        <w:rPr>
          <w:rStyle w:val="38"/>
          <w:color w:val="auto"/>
        </w:rPr>
        <w:fldChar w:fldCharType="end"/>
      </w:r>
    </w:p>
    <w:p w14:paraId="1E4C9246">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"_Toc66283693"</w:instrText>
      </w:r>
      <w:r>
        <w:rPr>
          <w:rStyle w:val="38"/>
          <w:color w:val="auto"/>
        </w:rPr>
        <w:instrText xml:space="preserve"> </w:instrText>
      </w:r>
      <w:r>
        <w:rPr>
          <w:rStyle w:val="38"/>
          <w:color w:val="auto"/>
        </w:rPr>
        <w:fldChar w:fldCharType="separate"/>
      </w:r>
      <w:r>
        <w:rPr>
          <w:rStyle w:val="38"/>
          <w:color w:val="auto"/>
        </w:rPr>
        <w:t>8　标识、包装、贮藏</w:t>
      </w:r>
      <w:r>
        <w:rPr>
          <w:rStyle w:val="38"/>
          <w:rFonts w:hint="eastAsia"/>
          <w:color w:val="auto"/>
          <w:lang w:eastAsia="zh-CN"/>
        </w:rPr>
        <w:t>、</w:t>
      </w:r>
      <w:r>
        <w:rPr>
          <w:rStyle w:val="38"/>
          <w:color w:val="auto"/>
        </w:rPr>
        <w:t>运输</w:t>
      </w:r>
      <w:r>
        <w:rPr>
          <w:rStyle w:val="38"/>
          <w:rFonts w:hint="eastAsia"/>
          <w:color w:val="auto"/>
          <w:lang w:eastAsia="zh-CN"/>
        </w:rPr>
        <w:t>和追溯管理</w:t>
      </w:r>
      <w:r>
        <w:rPr>
          <w:color w:val="auto"/>
        </w:rPr>
        <w:tab/>
      </w:r>
      <w:r>
        <w:rPr>
          <w:rFonts w:hint="eastAsia"/>
          <w:color w:val="auto"/>
          <w:lang w:val="en-US" w:eastAsia="zh-CN"/>
        </w:rPr>
        <w:t>4</w:t>
      </w:r>
      <w:r>
        <w:rPr>
          <w:rStyle w:val="38"/>
          <w:color w:val="auto"/>
        </w:rPr>
        <w:fldChar w:fldCharType="end"/>
      </w:r>
    </w:p>
    <w:p w14:paraId="002CDC32">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"_Toc66283694"</w:instrText>
      </w:r>
      <w:r>
        <w:rPr>
          <w:rStyle w:val="38"/>
          <w:color w:val="auto"/>
        </w:rPr>
        <w:instrText xml:space="preserve"> </w:instrText>
      </w:r>
      <w:r>
        <w:rPr>
          <w:rStyle w:val="38"/>
          <w:color w:val="auto"/>
        </w:rPr>
        <w:fldChar w:fldCharType="separate"/>
      </w:r>
      <w:r>
        <w:rPr>
          <w:rStyle w:val="38"/>
          <w:color w:val="auto"/>
        </w:rPr>
        <w:t>附录A（规范性）清江枳壳地理标志产品保护范围</w:t>
      </w:r>
      <w:r>
        <w:rPr>
          <w:color w:val="auto"/>
        </w:rPr>
        <w:tab/>
      </w:r>
      <w:r>
        <w:rPr>
          <w:rFonts w:hint="eastAsia"/>
          <w:color w:val="auto"/>
          <w:lang w:val="en-US" w:eastAsia="zh-CN"/>
        </w:rPr>
        <w:t>6</w:t>
      </w:r>
      <w:r>
        <w:rPr>
          <w:rStyle w:val="38"/>
          <w:color w:val="auto"/>
        </w:rPr>
        <w:fldChar w:fldCharType="end"/>
      </w:r>
    </w:p>
    <w:p w14:paraId="5E712743">
      <w:pPr>
        <w:pStyle w:val="19"/>
        <w:spacing w:before="78" w:after="78"/>
        <w:rPr>
          <w:rFonts w:ascii="等线" w:hAnsi="等线" w:eastAsia="等线"/>
          <w:color w:val="auto"/>
          <w:szCs w:val="22"/>
        </w:rPr>
      </w:pPr>
      <w:r>
        <w:rPr>
          <w:rStyle w:val="38"/>
          <w:color w:val="auto"/>
        </w:rPr>
        <w:fldChar w:fldCharType="begin" w:fldLock="1"/>
      </w:r>
      <w:r>
        <w:rPr>
          <w:rStyle w:val="38"/>
          <w:color w:val="auto"/>
        </w:rPr>
        <w:instrText xml:space="preserve"> </w:instrText>
      </w:r>
      <w:r>
        <w:rPr>
          <w:color w:val="auto"/>
        </w:rPr>
        <w:instrText xml:space="preserve">HYPERLINK \l "_Toc66283695"</w:instrText>
      </w:r>
      <w:r>
        <w:rPr>
          <w:rStyle w:val="38"/>
          <w:color w:val="auto"/>
        </w:rPr>
        <w:instrText xml:space="preserve"> </w:instrText>
      </w:r>
      <w:r>
        <w:rPr>
          <w:rStyle w:val="38"/>
          <w:color w:val="auto"/>
        </w:rPr>
        <w:fldChar w:fldCharType="separate"/>
      </w:r>
      <w:r>
        <w:rPr>
          <w:rStyle w:val="38"/>
          <w:color w:val="auto"/>
        </w:rPr>
        <w:t>附录B（资料性）清江枳壳栽培技术</w:t>
      </w:r>
      <w:r>
        <w:rPr>
          <w:color w:val="auto"/>
        </w:rPr>
        <w:tab/>
      </w:r>
      <w:r>
        <w:rPr>
          <w:rFonts w:hint="eastAsia"/>
          <w:color w:val="auto"/>
          <w:lang w:val="en-US" w:eastAsia="zh-CN"/>
        </w:rPr>
        <w:t>7</w:t>
      </w:r>
      <w:r>
        <w:rPr>
          <w:rStyle w:val="38"/>
          <w:color w:val="auto"/>
        </w:rPr>
        <w:fldChar w:fldCharType="end"/>
      </w:r>
    </w:p>
    <w:p w14:paraId="4430D55B">
      <w:pPr>
        <w:pStyle w:val="23"/>
        <w:rPr>
          <w:rFonts w:hint="eastAsia"/>
          <w:color w:val="auto"/>
        </w:rPr>
      </w:pPr>
      <w:r>
        <w:rPr>
          <w:color w:val="auto"/>
        </w:rPr>
        <w:fldChar w:fldCharType="end"/>
      </w:r>
    </w:p>
    <w:p w14:paraId="6EE36132">
      <w:pPr>
        <w:pStyle w:val="109"/>
        <w:rPr>
          <w:rFonts w:hint="eastAsia"/>
          <w:color w:val="auto"/>
        </w:rPr>
      </w:pPr>
      <w:bookmarkStart w:id="19" w:name="_Toc66283685"/>
      <w:r>
        <w:rPr>
          <w:rFonts w:hint="eastAsia"/>
          <w:color w:val="auto"/>
        </w:rPr>
        <w:t>前</w:t>
      </w:r>
      <w:bookmarkStart w:id="20" w:name="BKQY"/>
      <w:r>
        <w:rPr>
          <w:rFonts w:hAnsi="黑体"/>
          <w:color w:val="auto"/>
        </w:rPr>
        <w:t>  </w:t>
      </w:r>
      <w:r>
        <w:rPr>
          <w:rFonts w:hint="eastAsia"/>
          <w:color w:val="auto"/>
        </w:rPr>
        <w:t>言</w:t>
      </w:r>
      <w:bookmarkEnd w:id="13"/>
      <w:bookmarkEnd w:id="14"/>
      <w:bookmarkEnd w:id="15"/>
      <w:bookmarkEnd w:id="16"/>
      <w:bookmarkEnd w:id="17"/>
      <w:bookmarkEnd w:id="19"/>
      <w:bookmarkEnd w:id="20"/>
    </w:p>
    <w:p w14:paraId="1BF52C29">
      <w:pPr>
        <w:pStyle w:val="23"/>
        <w:rPr>
          <w:rFonts w:hint="eastAsia"/>
          <w:color w:val="auto"/>
        </w:rPr>
      </w:pPr>
      <w:r>
        <w:rPr>
          <w:rFonts w:hint="eastAsia"/>
          <w:color w:val="auto"/>
        </w:rPr>
        <w:t>本文件按照GB/T 1.1-2020《标准化工作导则 第1部分：标准化文件的结构和起草规则》的规定起草。</w:t>
      </w:r>
    </w:p>
    <w:p w14:paraId="22A28D03">
      <w:pPr>
        <w:pStyle w:val="23"/>
        <w:rPr>
          <w:rFonts w:hint="eastAsia" w:eastAsia="宋体"/>
          <w:color w:val="auto"/>
          <w:lang w:val="en-US" w:eastAsia="zh-CN"/>
        </w:rPr>
      </w:pPr>
      <w:r>
        <w:rPr>
          <w:rFonts w:hint="eastAsia"/>
          <w:color w:val="auto"/>
          <w:lang w:val="en-US" w:eastAsia="zh-CN"/>
        </w:rPr>
        <w:t>请注意本文件的某些内容可能涉及专利。本文件的发布机构不承担识别专利的责任。</w:t>
      </w:r>
    </w:p>
    <w:p w14:paraId="33C13C68">
      <w:pPr>
        <w:pStyle w:val="23"/>
        <w:bidi w:val="0"/>
        <w:rPr>
          <w:rFonts w:hint="eastAsia"/>
          <w:color w:val="auto"/>
        </w:rPr>
      </w:pPr>
      <w:r>
        <w:rPr>
          <w:rFonts w:hint="eastAsia"/>
          <w:color w:val="auto"/>
        </w:rPr>
        <w:t>本文件由江西省市场监督管理局提出。</w:t>
      </w:r>
    </w:p>
    <w:p w14:paraId="0728FABE">
      <w:pPr>
        <w:pStyle w:val="23"/>
        <w:bidi w:val="0"/>
        <w:rPr>
          <w:rFonts w:hint="eastAsia"/>
          <w:color w:val="auto"/>
        </w:rPr>
      </w:pPr>
      <w:r>
        <w:rPr>
          <w:rFonts w:hint="eastAsia"/>
          <w:color w:val="auto"/>
        </w:rPr>
        <w:t>本文件由江西省地理标志产品标准化技术委员会</w:t>
      </w:r>
      <w:r>
        <w:rPr>
          <w:rFonts w:hint="eastAsia"/>
          <w:color w:val="auto"/>
          <w:lang w:eastAsia="zh-CN"/>
        </w:rPr>
        <w:t>（JX/TC43）</w:t>
      </w:r>
      <w:r>
        <w:rPr>
          <w:rFonts w:hint="eastAsia"/>
          <w:color w:val="auto"/>
        </w:rPr>
        <w:t>归口。</w:t>
      </w:r>
    </w:p>
    <w:p w14:paraId="3A6AEA3E">
      <w:pPr>
        <w:pStyle w:val="23"/>
        <w:rPr>
          <w:rFonts w:hint="eastAsia"/>
          <w:color w:val="auto"/>
        </w:rPr>
      </w:pPr>
      <w:r>
        <w:rPr>
          <w:rFonts w:hint="eastAsia"/>
          <w:color w:val="auto"/>
        </w:rPr>
        <w:t>本文件起草单位：</w:t>
      </w:r>
      <w:r>
        <w:rPr>
          <w:rFonts w:hint="eastAsia" w:ascii="仿宋"/>
          <w:color w:val="auto"/>
        </w:rPr>
        <w:t>樟树市市场监督管理局、江西省质量和标准化研究院、樟树市鑫康健生态种植有限公司。</w:t>
      </w:r>
    </w:p>
    <w:p w14:paraId="4007A554">
      <w:pPr>
        <w:pStyle w:val="23"/>
        <w:rPr>
          <w:rFonts w:hint="eastAsia"/>
          <w:color w:val="auto"/>
        </w:rPr>
      </w:pPr>
      <w:r>
        <w:rPr>
          <w:rFonts w:hint="eastAsia"/>
          <w:color w:val="auto"/>
        </w:rPr>
        <w:t>本文件主要起草人：刘宇、孙玉平、陈强、许芳、曾建华、</w:t>
      </w:r>
      <w:r>
        <w:rPr>
          <w:rFonts w:hint="eastAsia"/>
          <w:color w:val="auto"/>
          <w:lang w:eastAsia="zh-CN"/>
        </w:rPr>
        <w:t>吴仁都、</w:t>
      </w:r>
      <w:r>
        <w:rPr>
          <w:rFonts w:hint="eastAsia"/>
          <w:color w:val="auto"/>
        </w:rPr>
        <w:t>汪秋雨、余君、张丹、陈四林。</w:t>
      </w:r>
    </w:p>
    <w:p w14:paraId="06CC54E3">
      <w:pPr>
        <w:pStyle w:val="23"/>
        <w:rPr>
          <w:rFonts w:hint="eastAsia"/>
          <w:color w:val="auto"/>
        </w:rPr>
      </w:pPr>
    </w:p>
    <w:p w14:paraId="7270998E">
      <w:pPr>
        <w:pStyle w:val="23"/>
        <w:ind w:firstLine="0" w:firstLineChars="0"/>
        <w:rPr>
          <w:rFonts w:hint="eastAsia"/>
          <w:color w:val="auto"/>
        </w:rPr>
        <w:sectPr>
          <w:headerReference r:id="rId5" w:type="default"/>
          <w:footerReference r:id="rId6" w:type="default"/>
          <w:pgSz w:w="11906" w:h="16838"/>
          <w:pgMar w:top="567" w:right="1134" w:bottom="1134" w:left="1417" w:header="1418" w:footer="1134" w:gutter="0"/>
          <w:pgNumType w:fmt="upperRoman" w:start="1"/>
          <w:cols w:space="720" w:num="1"/>
          <w:formProt w:val="0"/>
          <w:docGrid w:type="lines" w:linePitch="312" w:charSpace="0"/>
        </w:sectPr>
      </w:pPr>
    </w:p>
    <w:p w14:paraId="19F16545">
      <w:pPr>
        <w:pStyle w:val="139"/>
        <w:rPr>
          <w:rFonts w:hint="eastAsia"/>
          <w:color w:val="auto"/>
        </w:rPr>
      </w:pPr>
      <w:r>
        <w:rPr>
          <w:rFonts w:hint="eastAsia"/>
          <w:color w:val="auto"/>
        </w:rPr>
        <w:t>地</w:t>
      </w:r>
      <w:bookmarkStart w:id="21" w:name="StandardName"/>
      <w:r>
        <w:rPr>
          <w:rFonts w:hint="eastAsia"/>
          <w:color w:val="auto"/>
        </w:rPr>
        <w:t>理标志产品 清江枳壳</w:t>
      </w:r>
      <w:bookmarkEnd w:id="21"/>
    </w:p>
    <w:p w14:paraId="614AC8A7">
      <w:pPr>
        <w:pStyle w:val="72"/>
        <w:numPr>
          <w:ilvl w:val="0"/>
          <w:numId w:val="0"/>
        </w:numPr>
        <w:ind w:left="0" w:leftChars="0" w:firstLine="0" w:firstLineChars="0"/>
        <w:rPr>
          <w:rFonts w:hint="eastAsia"/>
          <w:color w:val="auto"/>
          <w:highlight w:val="none"/>
        </w:rPr>
      </w:pPr>
      <w:bookmarkStart w:id="22" w:name="_Toc28088342"/>
      <w:bookmarkStart w:id="23" w:name="_Toc28088166"/>
      <w:bookmarkStart w:id="24" w:name="_Toc29475963"/>
      <w:bookmarkStart w:id="25" w:name="_Toc16758420"/>
      <w:bookmarkStart w:id="26" w:name="_Toc66283686"/>
      <w:bookmarkStart w:id="27" w:name="_Toc29824725"/>
      <w:r>
        <w:rPr>
          <w:rFonts w:hint="eastAsia" w:ascii="黑体" w:hAnsi="Times New Roman" w:eastAsia="黑体"/>
          <w:b w:val="0"/>
          <w:i w:val="0"/>
          <w:color w:val="auto"/>
          <w:sz w:val="21"/>
          <w:szCs w:val="21"/>
          <w:lang w:val="en-US" w:eastAsia="zh-CN" w:bidi="ar-SA"/>
        </w:rPr>
        <w:t>1　</w:t>
      </w:r>
      <w:r>
        <w:rPr>
          <w:rFonts w:hint="eastAsia"/>
          <w:color w:val="auto"/>
          <w:highlight w:val="none"/>
        </w:rPr>
        <w:t>范围</w:t>
      </w:r>
      <w:bookmarkEnd w:id="22"/>
      <w:bookmarkEnd w:id="23"/>
      <w:bookmarkEnd w:id="24"/>
      <w:bookmarkEnd w:id="25"/>
      <w:bookmarkEnd w:id="26"/>
      <w:bookmarkEnd w:id="27"/>
    </w:p>
    <w:p w14:paraId="7F9375C2">
      <w:pPr>
        <w:pStyle w:val="23"/>
        <w:bidi w:val="0"/>
        <w:rPr>
          <w:rFonts w:hint="eastAsia"/>
          <w:color w:val="auto"/>
          <w:highlight w:val="none"/>
        </w:rPr>
      </w:pPr>
      <w:bookmarkStart w:id="28" w:name="_Toc29824726"/>
      <w:bookmarkStart w:id="29" w:name="_Toc28088167"/>
      <w:bookmarkStart w:id="30" w:name="_Toc66283687"/>
      <w:bookmarkStart w:id="31" w:name="_Toc16758421"/>
      <w:bookmarkStart w:id="32" w:name="_Toc28088343"/>
      <w:bookmarkStart w:id="33" w:name="_Toc29475964"/>
      <w:r>
        <w:rPr>
          <w:rFonts w:hint="eastAsia"/>
          <w:color w:val="auto"/>
          <w:highlight w:val="none"/>
        </w:rPr>
        <w:t>本文件规定了</w:t>
      </w:r>
      <w:r>
        <w:rPr>
          <w:rFonts w:hint="eastAsia"/>
          <w:color w:val="auto"/>
          <w:highlight w:val="none"/>
          <w:lang w:eastAsia="zh-CN"/>
        </w:rPr>
        <w:t>地理标志产品清江枳壳</w:t>
      </w:r>
      <w:r>
        <w:rPr>
          <w:rFonts w:hint="eastAsia"/>
          <w:color w:val="auto"/>
          <w:highlight w:val="none"/>
        </w:rPr>
        <w:t>的术语和定义、地理标志产品</w:t>
      </w:r>
      <w:r>
        <w:rPr>
          <w:rFonts w:hint="eastAsia"/>
          <w:color w:val="auto"/>
          <w:highlight w:val="none"/>
          <w:lang w:eastAsia="zh-CN"/>
        </w:rPr>
        <w:t>产地</w:t>
      </w:r>
      <w:r>
        <w:rPr>
          <w:rFonts w:hint="eastAsia"/>
          <w:color w:val="auto"/>
          <w:highlight w:val="none"/>
        </w:rPr>
        <w:t>范围、</w:t>
      </w:r>
      <w:r>
        <w:rPr>
          <w:rFonts w:hint="eastAsia"/>
          <w:color w:val="auto"/>
          <w:highlight w:val="none"/>
          <w:lang w:eastAsia="zh-CN"/>
        </w:rPr>
        <w:t>技术</w:t>
      </w:r>
      <w:r>
        <w:rPr>
          <w:rFonts w:hint="eastAsia"/>
          <w:color w:val="auto"/>
          <w:highlight w:val="none"/>
        </w:rPr>
        <w:t>要求、检验规则、</w:t>
      </w:r>
      <w:r>
        <w:rPr>
          <w:rFonts w:hint="eastAsia"/>
          <w:color w:val="auto"/>
          <w:highlight w:val="none"/>
          <w:lang w:eastAsia="zh-CN"/>
        </w:rPr>
        <w:t>标识、包装、运输、贮藏及追溯管理</w:t>
      </w:r>
      <w:r>
        <w:rPr>
          <w:rFonts w:hint="eastAsia"/>
          <w:color w:val="auto"/>
          <w:highlight w:val="none"/>
        </w:rPr>
        <w:t>。</w:t>
      </w:r>
    </w:p>
    <w:p w14:paraId="2985E431">
      <w:pPr>
        <w:pStyle w:val="23"/>
        <w:bidi w:val="0"/>
        <w:rPr>
          <w:color w:val="auto"/>
          <w:highlight w:val="none"/>
        </w:rPr>
      </w:pPr>
      <w:r>
        <w:rPr>
          <w:rFonts w:hint="eastAsia"/>
          <w:color w:val="auto"/>
          <w:highlight w:val="none"/>
        </w:rPr>
        <w:t>本文件适用于地理标志产品</w:t>
      </w:r>
      <w:r>
        <w:rPr>
          <w:rFonts w:hint="eastAsia"/>
          <w:color w:val="auto"/>
          <w:highlight w:val="none"/>
          <w:lang w:eastAsia="zh-CN"/>
        </w:rPr>
        <w:t>清江枳壳</w:t>
      </w:r>
      <w:r>
        <w:rPr>
          <w:rFonts w:hint="eastAsia"/>
          <w:color w:val="auto"/>
          <w:highlight w:val="none"/>
        </w:rPr>
        <w:t>的生产、加工、流通、检验，亦适用于地理标志产品</w:t>
      </w:r>
      <w:r>
        <w:rPr>
          <w:rFonts w:hint="eastAsia"/>
          <w:color w:val="auto"/>
          <w:highlight w:val="none"/>
          <w:lang w:eastAsia="zh-CN"/>
        </w:rPr>
        <w:t>清江枳壳</w:t>
      </w:r>
      <w:r>
        <w:rPr>
          <w:rFonts w:hint="eastAsia"/>
          <w:color w:val="auto"/>
          <w:highlight w:val="none"/>
        </w:rPr>
        <w:t>的产权保护和管理。</w:t>
      </w:r>
    </w:p>
    <w:p w14:paraId="77301DE2">
      <w:pPr>
        <w:pStyle w:val="72"/>
        <w:numPr>
          <w:ilvl w:val="0"/>
          <w:numId w:val="0"/>
        </w:numPr>
        <w:ind w:left="0" w:leftChars="0" w:firstLine="0" w:firstLineChars="0"/>
        <w:rPr>
          <w:rFonts w:hint="eastAsia"/>
          <w:color w:val="auto"/>
          <w:highlight w:val="none"/>
        </w:rPr>
      </w:pPr>
      <w:r>
        <w:rPr>
          <w:rFonts w:hint="eastAsia" w:ascii="黑体" w:hAnsi="Times New Roman" w:eastAsia="黑体"/>
          <w:b w:val="0"/>
          <w:i w:val="0"/>
          <w:color w:val="auto"/>
          <w:sz w:val="21"/>
          <w:szCs w:val="21"/>
          <w:highlight w:val="none"/>
          <w:lang w:val="en-US" w:eastAsia="zh-CN" w:bidi="ar-SA"/>
        </w:rPr>
        <w:t>2　</w:t>
      </w:r>
      <w:r>
        <w:rPr>
          <w:rFonts w:hint="eastAsia"/>
          <w:color w:val="auto"/>
          <w:highlight w:val="none"/>
        </w:rPr>
        <w:t>规范性引用文件</w:t>
      </w:r>
      <w:bookmarkEnd w:id="28"/>
      <w:bookmarkEnd w:id="29"/>
      <w:bookmarkEnd w:id="30"/>
      <w:bookmarkEnd w:id="31"/>
      <w:bookmarkEnd w:id="32"/>
      <w:bookmarkEnd w:id="33"/>
    </w:p>
    <w:p w14:paraId="17D475E4">
      <w:pPr>
        <w:pStyle w:val="23"/>
        <w:rPr>
          <w:color w:val="auto"/>
          <w:highlight w:val="none"/>
        </w:rPr>
      </w:pPr>
      <w:r>
        <w:rPr>
          <w:rFonts w:hint="eastAsia"/>
          <w:color w:val="auto"/>
          <w:highlight w:val="none"/>
        </w:rPr>
        <w:t>下列文件的内容通过文中的规范性引用而构成本文件必不可少的条款。其中，注日期的引用文件，仅该日期对应的版本适用于本文件；不注日期的引用文件，其最新版本（包括所有的修改单）适用于本文件。</w:t>
      </w:r>
    </w:p>
    <w:p w14:paraId="45AE3416">
      <w:pPr>
        <w:pStyle w:val="23"/>
        <w:rPr>
          <w:color w:val="auto"/>
          <w:highlight w:val="none"/>
        </w:rPr>
      </w:pPr>
      <w:r>
        <w:rPr>
          <w:color w:val="auto"/>
          <w:highlight w:val="none"/>
        </w:rPr>
        <w:t xml:space="preserve">GB/T 191  </w:t>
      </w:r>
      <w:r>
        <w:rPr>
          <w:rFonts w:hint="eastAsia"/>
          <w:color w:val="auto"/>
          <w:highlight w:val="none"/>
        </w:rPr>
        <w:t>包装储运图示标志</w:t>
      </w:r>
    </w:p>
    <w:p w14:paraId="06FBCCD7">
      <w:pPr>
        <w:pStyle w:val="23"/>
        <w:rPr>
          <w:color w:val="auto"/>
          <w:highlight w:val="none"/>
        </w:rPr>
      </w:pPr>
      <w:r>
        <w:rPr>
          <w:rFonts w:hint="eastAsia"/>
          <w:color w:val="auto"/>
          <w:highlight w:val="none"/>
        </w:rPr>
        <w:t>GB 3095</w:t>
      </w:r>
      <w:r>
        <w:rPr>
          <w:color w:val="auto"/>
          <w:highlight w:val="none"/>
        </w:rPr>
        <w:t xml:space="preserve">  </w:t>
      </w:r>
      <w:r>
        <w:rPr>
          <w:rFonts w:hint="eastAsia"/>
          <w:color w:val="auto"/>
          <w:highlight w:val="none"/>
        </w:rPr>
        <w:t>环境空气质量标准</w:t>
      </w:r>
    </w:p>
    <w:p w14:paraId="2A8777DF">
      <w:pPr>
        <w:pStyle w:val="23"/>
        <w:rPr>
          <w:color w:val="auto"/>
          <w:highlight w:val="none"/>
        </w:rPr>
      </w:pPr>
      <w:r>
        <w:rPr>
          <w:rFonts w:hint="eastAsia"/>
          <w:color w:val="auto"/>
          <w:highlight w:val="none"/>
        </w:rPr>
        <w:t>GB 5084</w:t>
      </w:r>
      <w:r>
        <w:rPr>
          <w:color w:val="auto"/>
          <w:highlight w:val="none"/>
        </w:rPr>
        <w:t xml:space="preserve">  </w:t>
      </w:r>
      <w:r>
        <w:rPr>
          <w:rFonts w:hint="eastAsia"/>
          <w:color w:val="auto"/>
          <w:highlight w:val="none"/>
        </w:rPr>
        <w:t>农田灌溉水质标准</w:t>
      </w:r>
    </w:p>
    <w:p w14:paraId="20CEC048">
      <w:pPr>
        <w:pStyle w:val="23"/>
        <w:rPr>
          <w:rFonts w:hint="eastAsia"/>
          <w:color w:val="auto"/>
          <w:highlight w:val="none"/>
        </w:rPr>
      </w:pPr>
      <w:r>
        <w:rPr>
          <w:color w:val="auto"/>
          <w:highlight w:val="none"/>
        </w:rPr>
        <w:t xml:space="preserve">GB 15618  </w:t>
      </w:r>
      <w:r>
        <w:rPr>
          <w:rFonts w:hint="eastAsia"/>
          <w:color w:val="auto"/>
          <w:highlight w:val="none"/>
        </w:rPr>
        <w:t>土壤环境质量 农用地土壤污染风险管控标准（试行）</w:t>
      </w:r>
    </w:p>
    <w:p w14:paraId="5D56A02E">
      <w:pPr>
        <w:pStyle w:val="23"/>
        <w:rPr>
          <w:rFonts w:hint="default" w:eastAsia="宋体"/>
          <w:color w:val="auto"/>
          <w:highlight w:val="none"/>
          <w:lang w:val="en-US" w:eastAsia="zh-CN"/>
        </w:rPr>
      </w:pPr>
      <w:r>
        <w:rPr>
          <w:rFonts w:hint="eastAsia"/>
          <w:color w:val="auto"/>
          <w:highlight w:val="none"/>
          <w:lang w:val="en-US" w:eastAsia="zh-CN"/>
        </w:rPr>
        <w:t>GB/T 17924  地理标志产品标准通用要求</w:t>
      </w:r>
    </w:p>
    <w:p w14:paraId="7038B2A2">
      <w:pPr>
        <w:widowControl/>
        <w:tabs>
          <w:tab w:val="center" w:pos="4201"/>
          <w:tab w:val="right" w:leader="dot" w:pos="9298"/>
        </w:tabs>
        <w:autoSpaceDE w:val="0"/>
        <w:autoSpaceDN w:val="0"/>
        <w:ind w:firstLine="420" w:firstLineChars="200"/>
        <w:rPr>
          <w:rFonts w:hint="eastAsia" w:ascii="宋体"/>
          <w:color w:val="auto"/>
          <w:kern w:val="0"/>
          <w:szCs w:val="20"/>
          <w:highlight w:val="none"/>
        </w:rPr>
      </w:pPr>
      <w:r>
        <w:rPr>
          <w:rFonts w:hint="eastAsia" w:ascii="宋体"/>
          <w:color w:val="auto"/>
          <w:kern w:val="0"/>
          <w:szCs w:val="20"/>
          <w:highlight w:val="none"/>
        </w:rPr>
        <w:t>N</w:t>
      </w:r>
      <w:r>
        <w:rPr>
          <w:rFonts w:ascii="宋体"/>
          <w:color w:val="auto"/>
          <w:kern w:val="0"/>
          <w:szCs w:val="20"/>
          <w:highlight w:val="none"/>
        </w:rPr>
        <w:t>Y</w:t>
      </w:r>
      <w:r>
        <w:rPr>
          <w:rFonts w:hint="eastAsia" w:ascii="宋体"/>
          <w:color w:val="auto"/>
          <w:kern w:val="0"/>
          <w:szCs w:val="20"/>
          <w:highlight w:val="none"/>
          <w:lang w:val="en-US" w:eastAsia="zh-CN"/>
        </w:rPr>
        <w:t>/T</w:t>
      </w:r>
      <w:r>
        <w:rPr>
          <w:rFonts w:ascii="宋体"/>
          <w:color w:val="auto"/>
          <w:kern w:val="0"/>
          <w:szCs w:val="20"/>
          <w:highlight w:val="none"/>
        </w:rPr>
        <w:t xml:space="preserve"> 525  </w:t>
      </w:r>
      <w:r>
        <w:rPr>
          <w:rFonts w:hint="eastAsia" w:ascii="宋体"/>
          <w:color w:val="auto"/>
          <w:kern w:val="0"/>
          <w:szCs w:val="20"/>
          <w:highlight w:val="none"/>
        </w:rPr>
        <w:t>有机肥料</w:t>
      </w:r>
    </w:p>
    <w:p w14:paraId="62043962">
      <w:pPr>
        <w:widowControl/>
        <w:tabs>
          <w:tab w:val="center" w:pos="4201"/>
          <w:tab w:val="right" w:leader="dot" w:pos="9298"/>
        </w:tabs>
        <w:autoSpaceDE w:val="0"/>
        <w:autoSpaceDN w:val="0"/>
        <w:ind w:firstLine="420" w:firstLineChars="200"/>
        <w:rPr>
          <w:rFonts w:hint="eastAsia" w:ascii="宋体"/>
          <w:color w:val="auto"/>
          <w:kern w:val="0"/>
          <w:szCs w:val="20"/>
          <w:highlight w:val="none"/>
        </w:rPr>
      </w:pPr>
      <w:r>
        <w:rPr>
          <w:rFonts w:hint="eastAsia" w:ascii="宋体"/>
          <w:color w:val="auto"/>
          <w:kern w:val="0"/>
          <w:szCs w:val="20"/>
          <w:highlight w:val="none"/>
        </w:rPr>
        <w:t>SB/T 11182  中药材包装技术规范</w:t>
      </w:r>
    </w:p>
    <w:p w14:paraId="03215856">
      <w:pPr>
        <w:widowControl/>
        <w:tabs>
          <w:tab w:val="center" w:pos="4201"/>
          <w:tab w:val="right" w:leader="dot" w:pos="9298"/>
        </w:tabs>
        <w:autoSpaceDE w:val="0"/>
        <w:autoSpaceDN w:val="0"/>
        <w:ind w:firstLine="420" w:firstLineChars="200"/>
        <w:rPr>
          <w:rFonts w:hint="eastAsia" w:ascii="宋体"/>
          <w:color w:val="auto"/>
          <w:kern w:val="0"/>
          <w:szCs w:val="20"/>
          <w:highlight w:val="none"/>
          <w:lang w:val="en-US" w:eastAsia="zh-CN"/>
        </w:rPr>
      </w:pPr>
      <w:r>
        <w:rPr>
          <w:rFonts w:hint="eastAsia" w:ascii="宋体"/>
          <w:color w:val="auto"/>
          <w:kern w:val="0"/>
          <w:szCs w:val="20"/>
          <w:highlight w:val="none"/>
          <w:lang w:val="en-US" w:eastAsia="zh-CN"/>
        </w:rPr>
        <w:t>DB36/T 1267  枳壳规范化生产技术规程</w:t>
      </w:r>
    </w:p>
    <w:p w14:paraId="5CAB56B8">
      <w:pPr>
        <w:pStyle w:val="23"/>
        <w:rPr>
          <w:color w:val="auto"/>
          <w:highlight w:val="none"/>
        </w:rPr>
      </w:pPr>
      <w:r>
        <w:rPr>
          <w:rFonts w:hint="eastAsia"/>
          <w:color w:val="auto"/>
          <w:highlight w:val="none"/>
        </w:rPr>
        <w:t>中华人民共和国药典（2</w:t>
      </w:r>
      <w:r>
        <w:rPr>
          <w:color w:val="auto"/>
          <w:highlight w:val="none"/>
        </w:rPr>
        <w:t>020</w:t>
      </w:r>
      <w:r>
        <w:rPr>
          <w:rFonts w:hint="eastAsia"/>
          <w:color w:val="auto"/>
          <w:highlight w:val="none"/>
        </w:rPr>
        <w:t>年版一部）</w:t>
      </w:r>
    </w:p>
    <w:p w14:paraId="648914AD">
      <w:pPr>
        <w:widowControl/>
        <w:tabs>
          <w:tab w:val="center" w:pos="4201"/>
          <w:tab w:val="right" w:leader="dot" w:pos="9298"/>
        </w:tabs>
        <w:autoSpaceDE w:val="0"/>
        <w:autoSpaceDN w:val="0"/>
        <w:ind w:firstLine="420" w:firstLineChars="200"/>
        <w:rPr>
          <w:rFonts w:hint="default" w:ascii="宋体"/>
          <w:color w:val="auto"/>
          <w:kern w:val="0"/>
          <w:szCs w:val="20"/>
          <w:highlight w:val="none"/>
          <w:lang w:val="en-US" w:eastAsia="zh-CN"/>
        </w:rPr>
      </w:pPr>
      <w:r>
        <w:rPr>
          <w:rFonts w:hint="eastAsia" w:ascii="宋体"/>
          <w:color w:val="auto"/>
          <w:kern w:val="0"/>
          <w:szCs w:val="20"/>
          <w:highlight w:val="none"/>
        </w:rPr>
        <w:t>中华人民共和国药典（2</w:t>
      </w:r>
      <w:r>
        <w:rPr>
          <w:rFonts w:ascii="宋体"/>
          <w:color w:val="auto"/>
          <w:kern w:val="0"/>
          <w:szCs w:val="20"/>
          <w:highlight w:val="none"/>
        </w:rPr>
        <w:t>020</w:t>
      </w:r>
      <w:r>
        <w:rPr>
          <w:rFonts w:hint="eastAsia" w:ascii="宋体"/>
          <w:color w:val="auto"/>
          <w:kern w:val="0"/>
          <w:szCs w:val="20"/>
          <w:highlight w:val="none"/>
        </w:rPr>
        <w:t>年版四部）</w:t>
      </w:r>
    </w:p>
    <w:p w14:paraId="6C499A8F">
      <w:pPr>
        <w:pStyle w:val="72"/>
        <w:numPr>
          <w:ilvl w:val="0"/>
          <w:numId w:val="18"/>
        </w:numPr>
        <w:ind w:left="0" w:leftChars="0" w:firstLine="0" w:firstLineChars="0"/>
        <w:rPr>
          <w:color w:val="auto"/>
          <w:highlight w:val="none"/>
        </w:rPr>
      </w:pPr>
      <w:bookmarkStart w:id="34" w:name="_Toc16758422"/>
      <w:bookmarkStart w:id="35" w:name="_Toc28088344"/>
      <w:bookmarkStart w:id="36" w:name="_Toc29824727"/>
      <w:bookmarkStart w:id="37" w:name="_Toc29475965"/>
      <w:bookmarkStart w:id="38" w:name="_Toc28088168"/>
      <w:bookmarkStart w:id="39" w:name="_Toc66283688"/>
      <w:r>
        <w:rPr>
          <w:rFonts w:hint="eastAsia"/>
          <w:color w:val="auto"/>
          <w:highlight w:val="none"/>
        </w:rPr>
        <w:t>术语和定义</w:t>
      </w:r>
      <w:bookmarkEnd w:id="34"/>
      <w:bookmarkEnd w:id="35"/>
      <w:bookmarkEnd w:id="36"/>
      <w:bookmarkEnd w:id="37"/>
      <w:bookmarkEnd w:id="38"/>
      <w:bookmarkEnd w:id="39"/>
    </w:p>
    <w:p w14:paraId="51347313">
      <w:pPr>
        <w:pStyle w:val="23"/>
        <w:rPr>
          <w:rFonts w:hint="eastAsia" w:eastAsia="宋体"/>
          <w:color w:val="auto"/>
          <w:highlight w:val="none"/>
          <w:lang w:eastAsia="zh-CN"/>
        </w:rPr>
      </w:pPr>
      <w:r>
        <w:rPr>
          <w:rFonts w:hint="eastAsia"/>
          <w:color w:val="auto"/>
          <w:highlight w:val="none"/>
          <w:lang w:eastAsia="zh-CN"/>
        </w:rPr>
        <w:t>下列术语和定义适用于本文件。</w:t>
      </w:r>
    </w:p>
    <w:p w14:paraId="23627379">
      <w:pPr>
        <w:pStyle w:val="66"/>
        <w:numPr>
          <w:ilvl w:val="0"/>
          <w:numId w:val="0"/>
        </w:numPr>
        <w:ind w:left="0" w:leftChars="0" w:firstLine="0" w:firstLineChars="0"/>
        <w:rPr>
          <w:color w:val="auto"/>
          <w:highlight w:val="none"/>
        </w:rPr>
      </w:pPr>
      <w:bookmarkStart w:id="40" w:name="_Toc16758423"/>
      <w:bookmarkEnd w:id="40"/>
      <w:bookmarkStart w:id="41" w:name="_Toc28088169"/>
      <w:bookmarkEnd w:id="41"/>
      <w:bookmarkStart w:id="42" w:name="_Toc29475966"/>
      <w:bookmarkEnd w:id="42"/>
      <w:bookmarkStart w:id="43" w:name="_Toc28088345"/>
      <w:bookmarkEnd w:id="43"/>
      <w:bookmarkStart w:id="44" w:name="_Toc29824728"/>
      <w:bookmarkEnd w:id="44"/>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3.1　</w:t>
      </w:r>
    </w:p>
    <w:p w14:paraId="11E93A8D">
      <w:pPr>
        <w:pStyle w:val="66"/>
        <w:numPr>
          <w:ilvl w:val="0"/>
          <w:numId w:val="0"/>
        </w:numPr>
        <w:ind w:firstLine="420" w:firstLineChars="200"/>
        <w:rPr>
          <w:color w:val="auto"/>
          <w:highlight w:val="none"/>
        </w:rPr>
      </w:pPr>
      <w:bookmarkStart w:id="45" w:name="_Toc16758424"/>
      <w:bookmarkStart w:id="46" w:name="_Toc28088170"/>
      <w:bookmarkStart w:id="47" w:name="_Toc29475967"/>
      <w:bookmarkStart w:id="48" w:name="_Toc28088346"/>
      <w:r>
        <w:rPr>
          <w:color w:val="auto"/>
          <w:highlight w:val="none"/>
        </w:rPr>
        <w:t xml:space="preserve">枳壳  </w:t>
      </w:r>
      <w:bookmarkEnd w:id="45"/>
      <w:bookmarkEnd w:id="46"/>
      <w:bookmarkEnd w:id="47"/>
      <w:bookmarkEnd w:id="48"/>
      <w:r>
        <w:rPr>
          <w:color w:val="auto"/>
          <w:highlight w:val="none"/>
        </w:rPr>
        <w:t xml:space="preserve">aurantii fructus </w:t>
      </w:r>
    </w:p>
    <w:p w14:paraId="28405284">
      <w:pPr>
        <w:pStyle w:val="23"/>
        <w:rPr>
          <w:color w:val="auto"/>
          <w:highlight w:val="none"/>
        </w:rPr>
      </w:pPr>
      <w:r>
        <w:rPr>
          <w:rFonts w:hint="eastAsia"/>
          <w:color w:val="auto"/>
          <w:highlight w:val="none"/>
        </w:rPr>
        <w:t>芸香科植物酸橙</w:t>
      </w:r>
      <w:r>
        <w:rPr>
          <w:rFonts w:ascii="Times New Roman"/>
          <w:i/>
          <w:iCs/>
          <w:color w:val="auto"/>
          <w:highlight w:val="none"/>
        </w:rPr>
        <w:t>Citrus aurantium</w:t>
      </w:r>
      <w:r>
        <w:rPr>
          <w:rFonts w:ascii="Times New Roman"/>
          <w:i w:val="0"/>
          <w:iCs w:val="0"/>
          <w:color w:val="auto"/>
          <w:highlight w:val="none"/>
        </w:rPr>
        <w:t xml:space="preserve"> </w:t>
      </w:r>
      <w:r>
        <w:rPr>
          <w:rFonts w:hint="eastAsia" w:ascii="Times New Roman"/>
          <w:i w:val="0"/>
          <w:iCs w:val="0"/>
          <w:color w:val="auto"/>
          <w:highlight w:val="none"/>
          <w:lang w:val="en-US" w:eastAsia="zh-CN"/>
        </w:rPr>
        <w:t>L</w:t>
      </w:r>
      <w:r>
        <w:rPr>
          <w:rFonts w:ascii="Times New Roman"/>
          <w:i/>
          <w:iCs/>
          <w:color w:val="auto"/>
          <w:highlight w:val="none"/>
        </w:rPr>
        <w:t>.</w:t>
      </w:r>
      <w:r>
        <w:rPr>
          <w:rFonts w:hint="eastAsia"/>
          <w:color w:val="auto"/>
          <w:highlight w:val="none"/>
        </w:rPr>
        <w:t>及其栽培变种的干燥未成熟果实。</w:t>
      </w:r>
    </w:p>
    <w:p w14:paraId="30F7AACB">
      <w:pPr>
        <w:pStyle w:val="66"/>
        <w:numPr>
          <w:ilvl w:val="0"/>
          <w:numId w:val="0"/>
        </w:numPr>
        <w:ind w:left="0" w:leftChars="0" w:firstLine="0" w:firstLineChars="0"/>
        <w:rPr>
          <w:rFonts w:hint="eastAsia"/>
          <w:color w:val="auto"/>
          <w:highlight w:val="none"/>
        </w:rPr>
      </w:pPr>
      <w:bookmarkStart w:id="49" w:name="_Toc28088347"/>
      <w:bookmarkEnd w:id="49"/>
      <w:bookmarkStart w:id="50" w:name="_Toc28088171"/>
      <w:bookmarkEnd w:id="50"/>
      <w:bookmarkStart w:id="51" w:name="_Toc16758425"/>
      <w:bookmarkEnd w:id="51"/>
      <w:bookmarkStart w:id="52" w:name="_Toc29475968"/>
      <w:bookmarkEnd w:id="52"/>
      <w:bookmarkStart w:id="53" w:name="_Toc29824729"/>
      <w:bookmarkEnd w:id="53"/>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3.2　</w:t>
      </w:r>
    </w:p>
    <w:p w14:paraId="0699698F">
      <w:pPr>
        <w:pStyle w:val="66"/>
        <w:numPr>
          <w:ilvl w:val="0"/>
          <w:numId w:val="0"/>
        </w:numPr>
        <w:ind w:firstLine="420" w:firstLineChars="200"/>
        <w:rPr>
          <w:color w:val="auto"/>
          <w:highlight w:val="none"/>
        </w:rPr>
      </w:pPr>
      <w:r>
        <w:rPr>
          <w:rFonts w:hint="eastAsia"/>
          <w:color w:val="auto"/>
          <w:highlight w:val="none"/>
        </w:rPr>
        <w:t xml:space="preserve">清江枳壳 </w:t>
      </w:r>
      <w:r>
        <w:rPr>
          <w:color w:val="auto"/>
          <w:highlight w:val="none"/>
        </w:rPr>
        <w:t xml:space="preserve"> Qingjiang aurantii fructus  </w:t>
      </w:r>
    </w:p>
    <w:p w14:paraId="41173569">
      <w:pPr>
        <w:widowControl/>
        <w:tabs>
          <w:tab w:val="center" w:pos="4201"/>
          <w:tab w:val="right" w:leader="dot" w:pos="9298"/>
        </w:tabs>
        <w:autoSpaceDE w:val="0"/>
        <w:autoSpaceDN w:val="0"/>
        <w:ind w:firstLine="420" w:firstLineChars="200"/>
        <w:rPr>
          <w:rFonts w:hint="eastAsia" w:ascii="宋体"/>
          <w:color w:val="auto"/>
          <w:kern w:val="0"/>
          <w:szCs w:val="20"/>
          <w:highlight w:val="none"/>
        </w:rPr>
      </w:pPr>
      <w:r>
        <w:rPr>
          <w:rFonts w:hint="eastAsia" w:ascii="宋体"/>
          <w:color w:val="auto"/>
          <w:kern w:val="0"/>
          <w:szCs w:val="20"/>
          <w:highlight w:val="none"/>
        </w:rPr>
        <w:t>应是在附录A规定的区域内生产的</w:t>
      </w:r>
      <w:r>
        <w:rPr>
          <w:rFonts w:hint="eastAsia"/>
          <w:color w:val="auto"/>
          <w:highlight w:val="none"/>
        </w:rPr>
        <w:t>芸香科植物酸橙</w:t>
      </w:r>
      <w:r>
        <w:rPr>
          <w:rFonts w:ascii="Times New Roman"/>
          <w:i/>
          <w:iCs/>
          <w:color w:val="auto"/>
          <w:highlight w:val="none"/>
        </w:rPr>
        <w:t>Citrus aurantium</w:t>
      </w:r>
      <w:r>
        <w:rPr>
          <w:rFonts w:ascii="Times New Roman"/>
          <w:i w:val="0"/>
          <w:iCs w:val="0"/>
          <w:color w:val="auto"/>
          <w:highlight w:val="none"/>
        </w:rPr>
        <w:t xml:space="preserve"> </w:t>
      </w:r>
      <w:r>
        <w:rPr>
          <w:rFonts w:hint="eastAsia" w:ascii="Times New Roman"/>
          <w:i w:val="0"/>
          <w:iCs w:val="0"/>
          <w:color w:val="auto"/>
          <w:highlight w:val="none"/>
          <w:lang w:val="en-US" w:eastAsia="zh-CN"/>
        </w:rPr>
        <w:t>L</w:t>
      </w:r>
      <w:r>
        <w:rPr>
          <w:rFonts w:ascii="Times New Roman"/>
          <w:i/>
          <w:iCs/>
          <w:color w:val="auto"/>
          <w:highlight w:val="none"/>
        </w:rPr>
        <w:t>.</w:t>
      </w:r>
      <w:r>
        <w:rPr>
          <w:rFonts w:hint="eastAsia" w:ascii="Times New Roman"/>
          <w:i w:val="0"/>
          <w:iCs w:val="0"/>
          <w:color w:val="auto"/>
          <w:highlight w:val="none"/>
          <w:lang w:eastAsia="zh-CN"/>
        </w:rPr>
        <w:t>的栽培变种臭橙（</w:t>
      </w:r>
      <w:r>
        <w:rPr>
          <w:rFonts w:ascii="Times New Roman"/>
          <w:i/>
          <w:iCs/>
          <w:color w:val="auto"/>
          <w:highlight w:val="none"/>
        </w:rPr>
        <w:t>Citrus</w:t>
      </w:r>
      <w:r>
        <w:rPr>
          <w:rFonts w:hint="eastAsia" w:ascii="Times New Roman"/>
          <w:i/>
          <w:iCs/>
          <w:color w:val="auto"/>
          <w:highlight w:val="none"/>
          <w:lang w:val="en-US" w:eastAsia="zh-CN"/>
        </w:rPr>
        <w:t xml:space="preserve"> </w:t>
      </w:r>
      <w:r>
        <w:rPr>
          <w:rFonts w:ascii="Times New Roman"/>
          <w:i/>
          <w:iCs/>
          <w:color w:val="auto"/>
          <w:highlight w:val="none"/>
        </w:rPr>
        <w:t>aurantium</w:t>
      </w:r>
      <w:r>
        <w:rPr>
          <w:rFonts w:hint="eastAsia" w:ascii="Times New Roman"/>
          <w:i/>
          <w:iCs/>
          <w:color w:val="auto"/>
          <w:highlight w:val="none"/>
        </w:rPr>
        <w:t>＇</w:t>
      </w:r>
      <w:r>
        <w:rPr>
          <w:rFonts w:hint="eastAsia" w:ascii="Times New Roman"/>
          <w:i w:val="0"/>
          <w:iCs w:val="0"/>
          <w:color w:val="auto"/>
          <w:highlight w:val="none"/>
          <w:lang w:val="en-US" w:eastAsia="zh-CN"/>
        </w:rPr>
        <w:t>Xiucheng</w:t>
      </w:r>
      <w:r>
        <w:rPr>
          <w:rFonts w:hint="eastAsia" w:ascii="Times New Roman"/>
          <w:i/>
          <w:iCs/>
          <w:color w:val="auto"/>
          <w:highlight w:val="none"/>
          <w:lang w:val="en-US" w:eastAsia="zh-CN"/>
        </w:rPr>
        <w:t xml:space="preserve">＇ </w:t>
      </w:r>
      <w:r>
        <w:rPr>
          <w:rFonts w:hint="eastAsia" w:ascii="Times New Roman"/>
          <w:i w:val="0"/>
          <w:iCs w:val="0"/>
          <w:color w:val="auto"/>
          <w:highlight w:val="none"/>
          <w:lang w:eastAsia="zh-CN"/>
        </w:rPr>
        <w:t>）或香橙（</w:t>
      </w:r>
      <w:r>
        <w:rPr>
          <w:rFonts w:ascii="Times New Roman"/>
          <w:i/>
          <w:iCs/>
          <w:color w:val="auto"/>
          <w:highlight w:val="none"/>
        </w:rPr>
        <w:t>Citrus</w:t>
      </w:r>
      <w:r>
        <w:rPr>
          <w:rFonts w:hint="eastAsia" w:ascii="Times New Roman"/>
          <w:i/>
          <w:iCs/>
          <w:color w:val="auto"/>
          <w:highlight w:val="none"/>
          <w:lang w:val="en-US" w:eastAsia="zh-CN"/>
        </w:rPr>
        <w:t xml:space="preserve"> </w:t>
      </w:r>
      <w:r>
        <w:rPr>
          <w:rFonts w:ascii="Times New Roman"/>
          <w:i/>
          <w:iCs/>
          <w:color w:val="auto"/>
          <w:highlight w:val="none"/>
        </w:rPr>
        <w:t>aurantium</w:t>
      </w:r>
      <w:r>
        <w:rPr>
          <w:rFonts w:hint="eastAsia" w:ascii="Times New Roman"/>
          <w:i/>
          <w:iCs/>
          <w:color w:val="auto"/>
          <w:highlight w:val="none"/>
        </w:rPr>
        <w:t>＇</w:t>
      </w:r>
      <w:r>
        <w:rPr>
          <w:rFonts w:hint="eastAsia" w:ascii="Times New Roman"/>
          <w:i w:val="0"/>
          <w:iCs w:val="0"/>
          <w:color w:val="auto"/>
          <w:highlight w:val="none"/>
          <w:lang w:val="en-US" w:eastAsia="zh-CN"/>
        </w:rPr>
        <w:t>Xiangcheng</w:t>
      </w:r>
      <w:r>
        <w:rPr>
          <w:rFonts w:hint="eastAsia" w:ascii="Times New Roman"/>
          <w:i/>
          <w:iCs/>
          <w:color w:val="auto"/>
          <w:highlight w:val="none"/>
          <w:lang w:val="en-US" w:eastAsia="zh-CN"/>
        </w:rPr>
        <w:t>＇</w:t>
      </w:r>
      <w:r>
        <w:rPr>
          <w:rFonts w:hint="eastAsia" w:ascii="Times New Roman"/>
          <w:i w:val="0"/>
          <w:iCs w:val="0"/>
          <w:color w:val="auto"/>
          <w:highlight w:val="none"/>
          <w:lang w:eastAsia="zh-CN"/>
        </w:rPr>
        <w:t>）的干燥未成熟果实，同时符合本文件要求</w:t>
      </w:r>
      <w:r>
        <w:rPr>
          <w:rFonts w:hint="eastAsia"/>
          <w:color w:val="auto"/>
          <w:highlight w:val="none"/>
        </w:rPr>
        <w:t>。</w:t>
      </w:r>
    </w:p>
    <w:p w14:paraId="7D9242D0">
      <w:pPr>
        <w:pStyle w:val="72"/>
        <w:numPr>
          <w:ilvl w:val="0"/>
          <w:numId w:val="0"/>
        </w:numPr>
        <w:ind w:left="0" w:leftChars="0" w:firstLine="0" w:firstLineChars="0"/>
        <w:rPr>
          <w:color w:val="auto"/>
          <w:highlight w:val="none"/>
        </w:rPr>
      </w:pPr>
      <w:bookmarkStart w:id="54" w:name="_Toc66283689"/>
      <w:r>
        <w:rPr>
          <w:rFonts w:hint="eastAsia" w:ascii="黑体" w:hAnsi="Times New Roman" w:eastAsia="黑体"/>
          <w:b w:val="0"/>
          <w:i w:val="0"/>
          <w:color w:val="auto"/>
          <w:sz w:val="21"/>
          <w:szCs w:val="21"/>
          <w:highlight w:val="none"/>
          <w:lang w:val="en-US" w:eastAsia="zh-CN" w:bidi="ar-SA"/>
        </w:rPr>
        <w:t>4　</w:t>
      </w:r>
      <w:r>
        <w:rPr>
          <w:rFonts w:hint="eastAsia"/>
          <w:color w:val="auto"/>
          <w:highlight w:val="none"/>
        </w:rPr>
        <w:t>地理标志产品保护范围</w:t>
      </w:r>
      <w:bookmarkEnd w:id="54"/>
    </w:p>
    <w:p w14:paraId="24CDBD69">
      <w:pPr>
        <w:pStyle w:val="23"/>
        <w:rPr>
          <w:color w:val="auto"/>
          <w:highlight w:val="none"/>
        </w:rPr>
      </w:pPr>
      <w:r>
        <w:rPr>
          <w:rFonts w:hint="eastAsia"/>
          <w:color w:val="auto"/>
          <w:highlight w:val="none"/>
        </w:rPr>
        <w:t>地理标志产品</w:t>
      </w:r>
      <w:r>
        <w:rPr>
          <w:rFonts w:hint="eastAsia"/>
          <w:color w:val="auto"/>
          <w:highlight w:val="none"/>
          <w:lang w:eastAsia="zh-CN"/>
        </w:rPr>
        <w:t>清江枳壳</w:t>
      </w:r>
      <w:r>
        <w:rPr>
          <w:rFonts w:hint="eastAsia"/>
          <w:color w:val="auto"/>
          <w:highlight w:val="none"/>
        </w:rPr>
        <w:t>的产地范围限定于国家知识产权行政主管部门根据《地理标志产品保护规定》发布的批准公告中的产地范围，即江西省</w:t>
      </w:r>
      <w:r>
        <w:rPr>
          <w:rFonts w:hint="eastAsia"/>
          <w:color w:val="auto"/>
          <w:highlight w:val="none"/>
          <w:lang w:eastAsia="zh-CN"/>
        </w:rPr>
        <w:t>樟树市</w:t>
      </w:r>
      <w:r>
        <w:rPr>
          <w:rFonts w:hint="eastAsia"/>
          <w:color w:val="auto"/>
          <w:highlight w:val="none"/>
        </w:rPr>
        <w:t>现辖行政区域，见附录A。</w:t>
      </w:r>
    </w:p>
    <w:p w14:paraId="6F33EB56">
      <w:pPr>
        <w:pStyle w:val="72"/>
        <w:numPr>
          <w:ilvl w:val="0"/>
          <w:numId w:val="0"/>
        </w:numPr>
        <w:ind w:left="0" w:leftChars="0" w:firstLine="0" w:firstLineChars="0"/>
        <w:rPr>
          <w:color w:val="auto"/>
          <w:highlight w:val="none"/>
        </w:rPr>
      </w:pPr>
      <w:bookmarkStart w:id="55" w:name="_Toc66283690"/>
      <w:r>
        <w:rPr>
          <w:rFonts w:hint="eastAsia" w:ascii="黑体" w:hAnsi="Times New Roman" w:eastAsia="黑体"/>
          <w:b w:val="0"/>
          <w:i w:val="0"/>
          <w:color w:val="auto"/>
          <w:sz w:val="21"/>
          <w:szCs w:val="21"/>
          <w:highlight w:val="none"/>
          <w:lang w:val="en-US" w:eastAsia="zh-CN" w:bidi="ar-SA"/>
        </w:rPr>
        <w:t>5　</w:t>
      </w:r>
      <w:r>
        <w:rPr>
          <w:rFonts w:hint="eastAsia"/>
          <w:color w:val="auto"/>
          <w:highlight w:val="none"/>
        </w:rPr>
        <w:t>要求</w:t>
      </w:r>
      <w:bookmarkEnd w:id="55"/>
    </w:p>
    <w:p w14:paraId="006CF138">
      <w:pPr>
        <w:pStyle w:val="66"/>
        <w:numPr>
          <w:ilvl w:val="0"/>
          <w:numId w:val="0"/>
        </w:numPr>
        <w:ind w:left="0" w:leftChars="0" w:firstLine="0" w:firstLineChars="0"/>
        <w:rPr>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5.1　</w:t>
      </w:r>
      <w:r>
        <w:rPr>
          <w:rFonts w:hint="eastAsia"/>
          <w:color w:val="auto"/>
          <w:highlight w:val="none"/>
        </w:rPr>
        <w:t>产地环境</w:t>
      </w:r>
    </w:p>
    <w:p w14:paraId="3D3862AC">
      <w:pPr>
        <w:pStyle w:val="65"/>
        <w:numPr>
          <w:ilvl w:val="0"/>
          <w:numId w:val="0"/>
        </w:numPr>
        <w:spacing w:before="156" w:after="156"/>
        <w:ind w:left="0" w:leftChars="0" w:firstLine="0" w:firstLineChars="0"/>
        <w:rPr>
          <w:rFonts w:hint="eastAsia" w:eastAsia="黑体"/>
          <w:color w:val="auto"/>
          <w:highlight w:val="none"/>
          <w:lang w:eastAsia="zh-CN"/>
        </w:rPr>
      </w:pPr>
      <w:r>
        <w:rPr>
          <w:rFonts w:hint="eastAsia" w:ascii="黑体" w:hAnsi="Times New Roman" w:eastAsia="黑体"/>
          <w:b w:val="0"/>
          <w:i w:val="0"/>
          <w:color w:val="auto"/>
          <w:sz w:val="21"/>
          <w:szCs w:val="21"/>
          <w:highlight w:val="none"/>
          <w:lang w:val="en-US" w:eastAsia="zh-CN" w:bidi="ar-SA"/>
        </w:rPr>
        <w:t>5.1.1　</w:t>
      </w:r>
      <w:r>
        <w:rPr>
          <w:rFonts w:hint="eastAsia"/>
          <w:color w:val="auto"/>
          <w:highlight w:val="none"/>
          <w:lang w:eastAsia="zh-CN"/>
        </w:rPr>
        <w:t>选址要求</w:t>
      </w:r>
    </w:p>
    <w:p w14:paraId="39654B76">
      <w:pPr>
        <w:pStyle w:val="23"/>
        <w:rPr>
          <w:rFonts w:hint="eastAsia"/>
          <w:color w:val="auto"/>
          <w:highlight w:val="none"/>
        </w:rPr>
      </w:pPr>
      <w:r>
        <w:rPr>
          <w:rFonts w:hint="eastAsia"/>
          <w:color w:val="auto"/>
          <w:highlight w:val="none"/>
          <w:lang w:eastAsia="zh-CN"/>
        </w:rPr>
        <w:t>在附录</w:t>
      </w:r>
      <w:r>
        <w:rPr>
          <w:rFonts w:hint="eastAsia"/>
          <w:color w:val="auto"/>
          <w:highlight w:val="none"/>
          <w:lang w:val="en-US" w:eastAsia="zh-CN"/>
        </w:rPr>
        <w:t>A清江枳壳地理标志产品保护范围，属</w:t>
      </w:r>
      <w:r>
        <w:rPr>
          <w:rFonts w:hint="eastAsia"/>
          <w:color w:val="auto"/>
          <w:highlight w:val="none"/>
        </w:rPr>
        <w:t>温暖湿润气候，阳光充足，雨量充沛。</w:t>
      </w:r>
      <w:r>
        <w:rPr>
          <w:rFonts w:hint="eastAsia"/>
          <w:color w:val="auto"/>
          <w:highlight w:val="none"/>
          <w:lang w:eastAsia="zh-CN"/>
        </w:rPr>
        <w:t>年平均气温大约</w:t>
      </w:r>
      <w:r>
        <w:rPr>
          <w:rFonts w:hint="eastAsia"/>
          <w:color w:val="auto"/>
          <w:highlight w:val="none"/>
          <w:lang w:val="en-US" w:eastAsia="zh-CN"/>
        </w:rPr>
        <w:t>17</w:t>
      </w:r>
      <w:r>
        <w:rPr>
          <w:rFonts w:hint="eastAsia" w:hAnsi="Times New Roman" w:eastAsia="宋体" w:cs="Times New Roman"/>
          <w:color w:val="auto"/>
          <w:highlight w:val="none"/>
          <w:lang w:val="en-US" w:eastAsia="zh-CN"/>
        </w:rPr>
        <w:t>.7℃</w:t>
      </w:r>
      <w:r>
        <w:rPr>
          <w:rFonts w:hint="eastAsia"/>
          <w:color w:val="auto"/>
          <w:highlight w:val="none"/>
          <w:lang w:val="en-US" w:eastAsia="zh-CN"/>
        </w:rPr>
        <w:t>，年平均日照大约1710h，年平均降水大约1718mm。</w:t>
      </w:r>
      <w:r>
        <w:rPr>
          <w:rFonts w:hint="eastAsia"/>
          <w:color w:val="auto"/>
          <w:highlight w:val="none"/>
        </w:rPr>
        <w:t>宜海拔3</w:t>
      </w:r>
      <w:r>
        <w:rPr>
          <w:color w:val="auto"/>
          <w:highlight w:val="none"/>
        </w:rPr>
        <w:t>00 m</w:t>
      </w:r>
      <w:r>
        <w:rPr>
          <w:rFonts w:hint="eastAsia"/>
          <w:color w:val="auto"/>
          <w:highlight w:val="none"/>
        </w:rPr>
        <w:t>以下的丘陵、岗地、平原</w:t>
      </w:r>
      <w:r>
        <w:rPr>
          <w:rFonts w:hint="eastAsia"/>
          <w:color w:val="auto"/>
          <w:highlight w:val="none"/>
          <w:lang w:eastAsia="zh-CN"/>
        </w:rPr>
        <w:t>，</w:t>
      </w:r>
      <w:r>
        <w:rPr>
          <w:rFonts w:hint="eastAsia"/>
          <w:color w:val="auto"/>
          <w:highlight w:val="none"/>
        </w:rPr>
        <w:t>排水良好、疏松、土层深厚的壤土、砂壤土或冲积土，</w:t>
      </w:r>
      <w:r>
        <w:rPr>
          <w:rFonts w:hint="eastAsia"/>
          <w:color w:val="auto"/>
          <w:highlight w:val="none"/>
        </w:rPr>
        <w:t>p</w:t>
      </w:r>
      <w:r>
        <w:rPr>
          <w:color w:val="auto"/>
          <w:highlight w:val="none"/>
        </w:rPr>
        <w:t>H</w:t>
      </w:r>
      <w:r>
        <w:rPr>
          <w:rFonts w:hint="eastAsia"/>
          <w:color w:val="auto"/>
          <w:highlight w:val="none"/>
        </w:rPr>
        <w:t>值5</w:t>
      </w:r>
      <w:r>
        <w:rPr>
          <w:color w:val="auto"/>
          <w:highlight w:val="none"/>
        </w:rPr>
        <w:t>.0</w:t>
      </w:r>
      <w:r>
        <w:rPr>
          <w:rFonts w:hint="eastAsia" w:hAnsi="宋体"/>
          <w:color w:val="auto"/>
          <w:highlight w:val="none"/>
        </w:rPr>
        <w:t>～</w:t>
      </w:r>
      <w:r>
        <w:rPr>
          <w:rFonts w:hint="eastAsia"/>
          <w:color w:val="auto"/>
          <w:highlight w:val="none"/>
        </w:rPr>
        <w:t>6</w:t>
      </w:r>
      <w:r>
        <w:rPr>
          <w:color w:val="auto"/>
          <w:highlight w:val="none"/>
        </w:rPr>
        <w:t>.5</w:t>
      </w:r>
      <w:r>
        <w:rPr>
          <w:rFonts w:hint="eastAsia"/>
          <w:color w:val="auto"/>
          <w:highlight w:val="none"/>
        </w:rPr>
        <w:t>。</w:t>
      </w:r>
    </w:p>
    <w:p w14:paraId="0D609311">
      <w:pPr>
        <w:pStyle w:val="65"/>
        <w:numPr>
          <w:ilvl w:val="0"/>
          <w:numId w:val="0"/>
        </w:numPr>
        <w:spacing w:before="156" w:after="156"/>
        <w:ind w:left="0" w:leftChars="0" w:firstLine="0" w:firstLineChars="0"/>
        <w:rPr>
          <w:rFonts w:hint="eastAsia" w:eastAsia="黑体"/>
          <w:color w:val="auto"/>
          <w:highlight w:val="none"/>
          <w:lang w:eastAsia="zh-CN"/>
        </w:rPr>
      </w:pPr>
      <w:r>
        <w:rPr>
          <w:rFonts w:hint="eastAsia" w:ascii="黑体" w:hAnsi="Times New Roman" w:eastAsia="黑体"/>
          <w:b w:val="0"/>
          <w:i w:val="0"/>
          <w:color w:val="auto"/>
          <w:sz w:val="21"/>
          <w:szCs w:val="21"/>
          <w:highlight w:val="none"/>
          <w:lang w:val="en-US" w:eastAsia="zh-CN" w:bidi="ar-SA"/>
        </w:rPr>
        <w:t>5.1.2　</w:t>
      </w:r>
      <w:r>
        <w:rPr>
          <w:rFonts w:hint="eastAsia"/>
          <w:color w:val="auto"/>
          <w:highlight w:val="none"/>
        </w:rPr>
        <w:t>环境质量</w:t>
      </w:r>
      <w:r>
        <w:rPr>
          <w:rFonts w:hint="eastAsia"/>
          <w:color w:val="auto"/>
          <w:highlight w:val="none"/>
          <w:lang w:eastAsia="zh-CN"/>
        </w:rPr>
        <w:t>要求</w:t>
      </w:r>
    </w:p>
    <w:p w14:paraId="25BADCAD">
      <w:pPr>
        <w:pStyle w:val="23"/>
        <w:rPr>
          <w:rFonts w:hint="eastAsia"/>
          <w:color w:val="auto"/>
          <w:highlight w:val="none"/>
        </w:rPr>
      </w:pPr>
      <w:r>
        <w:rPr>
          <w:rFonts w:hint="eastAsia"/>
          <w:color w:val="auto"/>
          <w:highlight w:val="none"/>
        </w:rPr>
        <w:t>应选择在生态环境良好，无污染源或不受污染源影响或污染物浓度控制在允许范围内的农业生产区域，空气符合GB 3095二类区要求，土壤符合GB 15618</w:t>
      </w:r>
      <w:r>
        <w:rPr>
          <w:rFonts w:hint="eastAsia"/>
          <w:color w:val="auto"/>
          <w:highlight w:val="none"/>
          <w:lang w:eastAsia="zh-CN"/>
        </w:rPr>
        <w:t>要求</w:t>
      </w:r>
      <w:r>
        <w:rPr>
          <w:rFonts w:hint="eastAsia"/>
          <w:color w:val="auto"/>
          <w:highlight w:val="none"/>
        </w:rPr>
        <w:t>，灌溉水符合GB 5084要求。</w:t>
      </w:r>
    </w:p>
    <w:p w14:paraId="71C846AB">
      <w:pPr>
        <w:pStyle w:val="66"/>
        <w:numPr>
          <w:ilvl w:val="0"/>
          <w:numId w:val="0"/>
        </w:numPr>
        <w:ind w:left="0" w:leftChars="0" w:firstLine="0" w:firstLineChars="0"/>
        <w:rPr>
          <w:color w:val="auto"/>
          <w:highlight w:val="none"/>
        </w:rPr>
      </w:pPr>
      <w:bookmarkStart w:id="56" w:name="_Hlk41987790"/>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5.2　</w:t>
      </w:r>
      <w:r>
        <w:rPr>
          <w:rFonts w:hint="eastAsia"/>
          <w:color w:val="auto"/>
          <w:highlight w:val="none"/>
        </w:rPr>
        <w:t>栽培技术</w:t>
      </w:r>
    </w:p>
    <w:p w14:paraId="1E0CE473">
      <w:pPr>
        <w:pStyle w:val="23"/>
        <w:rPr>
          <w:rFonts w:hint="eastAsia"/>
          <w:color w:val="auto"/>
          <w:highlight w:val="none"/>
        </w:rPr>
      </w:pPr>
      <w:r>
        <w:rPr>
          <w:rFonts w:hint="eastAsia"/>
          <w:color w:val="auto"/>
          <w:highlight w:val="none"/>
        </w:rPr>
        <w:t>见附录B。</w:t>
      </w:r>
    </w:p>
    <w:bookmarkEnd w:id="56"/>
    <w:p w14:paraId="71BCC363">
      <w:pPr>
        <w:pStyle w:val="66"/>
        <w:numPr>
          <w:ilvl w:val="0"/>
          <w:numId w:val="0"/>
        </w:numPr>
        <w:ind w:left="0" w:leftChars="0" w:firstLine="0" w:firstLineChars="0"/>
        <w:rPr>
          <w:rFonts w:hint="eastAsia"/>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5.3　</w:t>
      </w:r>
      <w:r>
        <w:rPr>
          <w:rFonts w:hint="eastAsia"/>
          <w:color w:val="auto"/>
          <w:highlight w:val="none"/>
        </w:rPr>
        <w:t>采收、加工</w:t>
      </w:r>
    </w:p>
    <w:p w14:paraId="1E009FEC">
      <w:pPr>
        <w:pStyle w:val="65"/>
        <w:numPr>
          <w:ilvl w:val="0"/>
          <w:numId w:val="0"/>
        </w:numPr>
        <w:spacing w:before="156" w:after="156"/>
        <w:ind w:left="0" w:leftChars="0" w:firstLine="0" w:firstLineChars="0"/>
        <w:rPr>
          <w:rFonts w:hint="eastAsia"/>
          <w:color w:val="auto"/>
          <w:highlight w:val="none"/>
        </w:rPr>
      </w:pPr>
      <w:r>
        <w:rPr>
          <w:rFonts w:hint="eastAsia" w:ascii="黑体" w:hAnsi="Times New Roman" w:eastAsia="黑体"/>
          <w:b w:val="0"/>
          <w:i w:val="0"/>
          <w:color w:val="auto"/>
          <w:sz w:val="21"/>
          <w:szCs w:val="21"/>
          <w:highlight w:val="none"/>
          <w:lang w:val="en-US" w:eastAsia="zh-CN" w:bidi="ar-SA"/>
        </w:rPr>
        <w:t>5.3.1　</w:t>
      </w:r>
      <w:r>
        <w:rPr>
          <w:rFonts w:hint="eastAsia"/>
          <w:color w:val="auto"/>
          <w:highlight w:val="none"/>
        </w:rPr>
        <w:t>采收</w:t>
      </w:r>
    </w:p>
    <w:p w14:paraId="2A1A64C1">
      <w:pPr>
        <w:pStyle w:val="23"/>
        <w:rPr>
          <w:rFonts w:hint="default" w:eastAsia="宋体"/>
          <w:color w:val="auto"/>
          <w:highlight w:val="none"/>
          <w:lang w:val="en-US" w:eastAsia="zh-CN"/>
        </w:rPr>
      </w:pPr>
      <w:r>
        <w:rPr>
          <w:rFonts w:hint="eastAsia"/>
          <w:color w:val="auto"/>
          <w:highlight w:val="none"/>
          <w:lang w:eastAsia="zh-CN"/>
        </w:rPr>
        <w:t>宜于</w:t>
      </w:r>
      <w:r>
        <w:rPr>
          <w:rFonts w:hint="eastAsia"/>
          <w:color w:val="auto"/>
          <w:highlight w:val="none"/>
          <w:lang w:val="en-US" w:eastAsia="zh-CN"/>
        </w:rPr>
        <w:t>6月下旬到7月上旬晴天适时采摘。于露水干后，手工采摘或用带网罩钩杆将果实摘下。</w:t>
      </w:r>
    </w:p>
    <w:p w14:paraId="4E534D67">
      <w:pPr>
        <w:pStyle w:val="65"/>
        <w:numPr>
          <w:ilvl w:val="0"/>
          <w:numId w:val="0"/>
        </w:numPr>
        <w:spacing w:before="156" w:after="156"/>
        <w:ind w:left="0" w:leftChars="0" w:firstLine="0" w:firstLineChars="0"/>
        <w:rPr>
          <w:rFonts w:hint="eastAsia"/>
          <w:color w:val="auto"/>
          <w:highlight w:val="none"/>
        </w:rPr>
      </w:pPr>
      <w:r>
        <w:rPr>
          <w:rFonts w:hint="eastAsia" w:ascii="黑体" w:hAnsi="Times New Roman" w:eastAsia="黑体"/>
          <w:b w:val="0"/>
          <w:i w:val="0"/>
          <w:color w:val="auto"/>
          <w:sz w:val="21"/>
          <w:szCs w:val="21"/>
          <w:highlight w:val="none"/>
          <w:lang w:val="en-US" w:eastAsia="zh-CN" w:bidi="ar-SA"/>
        </w:rPr>
        <w:t>5.3.2　</w:t>
      </w:r>
      <w:r>
        <w:rPr>
          <w:rFonts w:hint="eastAsia"/>
          <w:color w:val="auto"/>
          <w:highlight w:val="none"/>
        </w:rPr>
        <w:t>初加工</w:t>
      </w:r>
    </w:p>
    <w:p w14:paraId="13F7A907">
      <w:pPr>
        <w:pStyle w:val="64"/>
        <w:numPr>
          <w:ilvl w:val="0"/>
          <w:numId w:val="0"/>
        </w:numPr>
        <w:spacing w:before="156" w:after="156"/>
        <w:ind w:left="0" w:leftChars="0" w:firstLine="0" w:firstLineChars="0"/>
        <w:rPr>
          <w:rFonts w:hint="eastAsia"/>
          <w:color w:val="auto"/>
          <w:highlight w:val="none"/>
        </w:rPr>
      </w:pPr>
      <w:r>
        <w:rPr>
          <w:rFonts w:hint="eastAsia" w:ascii="黑体" w:hAnsi="Times New Roman" w:eastAsia="黑体"/>
          <w:b w:val="0"/>
          <w:i w:val="0"/>
          <w:color w:val="auto"/>
          <w:sz w:val="21"/>
          <w:szCs w:val="21"/>
          <w:highlight w:val="none"/>
          <w:lang w:val="en-US" w:eastAsia="zh-CN" w:bidi="ar-SA"/>
        </w:rPr>
        <w:t>5.3.2.1　</w:t>
      </w:r>
      <w:r>
        <w:rPr>
          <w:rFonts w:hint="eastAsia"/>
          <w:color w:val="auto"/>
          <w:highlight w:val="none"/>
        </w:rPr>
        <w:t>晒干</w:t>
      </w:r>
    </w:p>
    <w:p w14:paraId="60B3EB3D">
      <w:pPr>
        <w:pStyle w:val="23"/>
        <w:rPr>
          <w:color w:val="auto"/>
          <w:highlight w:val="none"/>
        </w:rPr>
      </w:pPr>
      <w:r>
        <w:rPr>
          <w:rFonts w:hint="eastAsia"/>
          <w:color w:val="auto"/>
          <w:highlight w:val="none"/>
        </w:rPr>
        <w:t>将采下的鲜果及时横剖两半、摊开，宜白天在烈日下、铺于竹席</w:t>
      </w:r>
      <w:r>
        <w:rPr>
          <w:rFonts w:hint="eastAsia"/>
          <w:color w:val="auto"/>
          <w:highlight w:val="none"/>
          <w:lang w:eastAsia="zh-CN"/>
        </w:rPr>
        <w:t>晒垫</w:t>
      </w:r>
      <w:r>
        <w:rPr>
          <w:rFonts w:hint="eastAsia"/>
          <w:color w:val="auto"/>
          <w:highlight w:val="none"/>
        </w:rPr>
        <w:t>上</w:t>
      </w:r>
      <w:r>
        <w:rPr>
          <w:rFonts w:hint="eastAsia"/>
          <w:color w:val="auto"/>
          <w:highlight w:val="none"/>
          <w:lang w:eastAsia="zh-CN"/>
        </w:rPr>
        <w:t>晾</w:t>
      </w:r>
      <w:r>
        <w:rPr>
          <w:rFonts w:hint="eastAsia"/>
          <w:color w:val="auto"/>
          <w:highlight w:val="none"/>
        </w:rPr>
        <w:t>晒，</w:t>
      </w:r>
      <w:r>
        <w:rPr>
          <w:rFonts w:hint="eastAsia"/>
          <w:color w:val="auto"/>
          <w:highlight w:val="none"/>
          <w:lang w:eastAsia="zh-CN"/>
        </w:rPr>
        <w:t>剖面朝上</w:t>
      </w:r>
      <w:r>
        <w:rPr>
          <w:rFonts w:hint="eastAsia"/>
          <w:color w:val="auto"/>
          <w:highlight w:val="none"/>
        </w:rPr>
        <w:t>。晒至6成</w:t>
      </w:r>
      <w:r>
        <w:rPr>
          <w:rFonts w:hint="eastAsia" w:hAnsi="宋体"/>
          <w:color w:val="auto"/>
          <w:highlight w:val="none"/>
        </w:rPr>
        <w:t>～</w:t>
      </w:r>
      <w:r>
        <w:rPr>
          <w:color w:val="auto"/>
          <w:highlight w:val="none"/>
        </w:rPr>
        <w:t>7</w:t>
      </w:r>
      <w:r>
        <w:rPr>
          <w:rFonts w:hint="eastAsia"/>
          <w:color w:val="auto"/>
          <w:highlight w:val="none"/>
        </w:rPr>
        <w:t>成干时，收回堆放</w:t>
      </w:r>
      <w:r>
        <w:rPr>
          <w:rFonts w:hint="eastAsia"/>
          <w:color w:val="auto"/>
          <w:highlight w:val="none"/>
          <w:lang w:eastAsia="zh-CN"/>
        </w:rPr>
        <w:t>发汗</w:t>
      </w:r>
      <w:r>
        <w:rPr>
          <w:rFonts w:hint="eastAsia"/>
          <w:color w:val="auto"/>
          <w:highlight w:val="none"/>
          <w:lang w:val="en-US" w:eastAsia="zh-CN"/>
        </w:rPr>
        <w:t>12h～24h</w:t>
      </w:r>
      <w:r>
        <w:rPr>
          <w:rFonts w:hint="eastAsia"/>
          <w:color w:val="auto"/>
          <w:highlight w:val="none"/>
        </w:rPr>
        <w:t>，再晒至全干即可。</w:t>
      </w:r>
    </w:p>
    <w:p w14:paraId="580D2B02">
      <w:pPr>
        <w:pStyle w:val="64"/>
        <w:numPr>
          <w:ilvl w:val="0"/>
          <w:numId w:val="0"/>
        </w:numPr>
        <w:spacing w:before="156" w:after="156"/>
        <w:ind w:left="0" w:leftChars="0" w:firstLine="0" w:firstLineChars="0"/>
        <w:rPr>
          <w:color w:val="auto"/>
          <w:highlight w:val="none"/>
        </w:rPr>
      </w:pPr>
      <w:r>
        <w:rPr>
          <w:rFonts w:hint="eastAsia" w:ascii="黑体" w:hAnsi="Times New Roman" w:eastAsia="黑体"/>
          <w:b w:val="0"/>
          <w:i w:val="0"/>
          <w:color w:val="auto"/>
          <w:sz w:val="21"/>
          <w:szCs w:val="21"/>
          <w:highlight w:val="none"/>
          <w:lang w:val="en-US" w:eastAsia="zh-CN" w:bidi="ar-SA"/>
        </w:rPr>
        <w:t>5.3.2.2　</w:t>
      </w:r>
      <w:r>
        <w:rPr>
          <w:rFonts w:hint="eastAsia"/>
          <w:color w:val="auto"/>
          <w:highlight w:val="none"/>
        </w:rPr>
        <w:t>烘干</w:t>
      </w:r>
    </w:p>
    <w:p w14:paraId="1F598A77">
      <w:pPr>
        <w:pStyle w:val="23"/>
        <w:rPr>
          <w:rFonts w:hint="eastAsia"/>
          <w:color w:val="auto"/>
          <w:highlight w:val="none"/>
        </w:rPr>
      </w:pPr>
      <w:r>
        <w:rPr>
          <w:rFonts w:hint="eastAsia"/>
          <w:color w:val="auto"/>
          <w:highlight w:val="none"/>
        </w:rPr>
        <w:t>采摘的鲜果及时横剖（手工切或机械切）两半均匀放置托盘内（横剖面向上），24</w:t>
      </w:r>
      <w:r>
        <w:rPr>
          <w:color w:val="auto"/>
          <w:highlight w:val="none"/>
        </w:rPr>
        <w:t xml:space="preserve"> </w:t>
      </w:r>
      <w:r>
        <w:rPr>
          <w:rFonts w:hint="eastAsia"/>
          <w:color w:val="auto"/>
          <w:highlight w:val="none"/>
        </w:rPr>
        <w:t>h内选择</w:t>
      </w:r>
      <w:r>
        <w:rPr>
          <w:rFonts w:hint="eastAsia"/>
          <w:color w:val="auto"/>
          <w:highlight w:val="none"/>
          <w:lang w:val="en-US" w:eastAsia="zh-CN"/>
        </w:rPr>
        <w:t>55℃～60℃温度</w:t>
      </w:r>
      <w:r>
        <w:rPr>
          <w:rFonts w:hint="eastAsia"/>
          <w:color w:val="auto"/>
          <w:highlight w:val="none"/>
        </w:rPr>
        <w:t>进行烘干。</w:t>
      </w:r>
    </w:p>
    <w:p w14:paraId="230D0DF7">
      <w:pPr>
        <w:pStyle w:val="66"/>
        <w:numPr>
          <w:ilvl w:val="0"/>
          <w:numId w:val="0"/>
        </w:numPr>
        <w:ind w:left="0" w:leftChars="0" w:firstLine="0" w:firstLineChars="0"/>
        <w:rPr>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5.4　</w:t>
      </w:r>
      <w:r>
        <w:rPr>
          <w:rFonts w:hint="eastAsia"/>
          <w:color w:val="auto"/>
          <w:highlight w:val="none"/>
        </w:rPr>
        <w:t>质量</w:t>
      </w:r>
    </w:p>
    <w:p w14:paraId="30773885">
      <w:pPr>
        <w:pStyle w:val="65"/>
        <w:numPr>
          <w:ilvl w:val="0"/>
          <w:numId w:val="0"/>
        </w:numPr>
        <w:spacing w:before="156" w:after="156"/>
        <w:ind w:left="0" w:leftChars="0" w:firstLine="0" w:firstLineChars="0"/>
        <w:rPr>
          <w:color w:val="auto"/>
          <w:highlight w:val="none"/>
        </w:rPr>
      </w:pPr>
      <w:r>
        <w:rPr>
          <w:rFonts w:hint="eastAsia" w:ascii="黑体" w:hAnsi="Times New Roman" w:eastAsia="黑体"/>
          <w:b w:val="0"/>
          <w:i w:val="0"/>
          <w:color w:val="auto"/>
          <w:sz w:val="21"/>
          <w:szCs w:val="21"/>
          <w:highlight w:val="none"/>
          <w:lang w:val="en-US" w:eastAsia="zh-CN" w:bidi="ar-SA"/>
        </w:rPr>
        <w:t>5.4.1　</w:t>
      </w:r>
      <w:r>
        <w:rPr>
          <w:rFonts w:hint="eastAsia" w:hAnsi="Times New Roman"/>
          <w:b w:val="0"/>
          <w:i w:val="0"/>
          <w:color w:val="auto"/>
          <w:sz w:val="21"/>
          <w:szCs w:val="21"/>
          <w:highlight w:val="none"/>
          <w:lang w:val="en-US" w:eastAsia="zh-CN" w:bidi="ar-SA"/>
        </w:rPr>
        <w:t>性状</w:t>
      </w:r>
      <w:r>
        <w:rPr>
          <w:rFonts w:hint="eastAsia"/>
          <w:color w:val="auto"/>
          <w:highlight w:val="none"/>
        </w:rPr>
        <w:t>指标</w:t>
      </w:r>
    </w:p>
    <w:p w14:paraId="6DFC9371">
      <w:pPr>
        <w:pStyle w:val="23"/>
        <w:rPr>
          <w:rFonts w:hint="eastAsia"/>
          <w:color w:val="auto"/>
          <w:highlight w:val="none"/>
        </w:rPr>
      </w:pPr>
      <w:r>
        <w:rPr>
          <w:rFonts w:hint="eastAsia"/>
          <w:color w:val="auto"/>
          <w:highlight w:val="none"/>
          <w:lang w:eastAsia="zh-CN"/>
        </w:rPr>
        <w:t>本品</w:t>
      </w:r>
      <w:r>
        <w:rPr>
          <w:rFonts w:hint="eastAsia"/>
          <w:color w:val="auto"/>
          <w:highlight w:val="none"/>
        </w:rPr>
        <w:t>呈半球形，直径3</w:t>
      </w:r>
      <w:r>
        <w:rPr>
          <w:rFonts w:hint="eastAsia"/>
          <w:color w:val="auto"/>
          <w:highlight w:val="none"/>
          <w:lang w:val="en-US" w:eastAsia="zh-CN"/>
        </w:rPr>
        <w:t xml:space="preserve"> </w:t>
      </w:r>
      <w:r>
        <w:rPr>
          <w:color w:val="auto"/>
          <w:highlight w:val="none"/>
        </w:rPr>
        <w:t>cm</w:t>
      </w:r>
      <w:r>
        <w:rPr>
          <w:rFonts w:hint="eastAsia" w:hAnsi="宋体"/>
          <w:color w:val="auto"/>
          <w:highlight w:val="none"/>
        </w:rPr>
        <w:t>～</w:t>
      </w:r>
      <w:r>
        <w:rPr>
          <w:color w:val="auto"/>
          <w:highlight w:val="none"/>
        </w:rPr>
        <w:t>5</w:t>
      </w:r>
      <w:r>
        <w:rPr>
          <w:rFonts w:hint="eastAsia"/>
          <w:color w:val="auto"/>
          <w:highlight w:val="none"/>
          <w:lang w:val="en-US" w:eastAsia="zh-CN"/>
        </w:rPr>
        <w:t xml:space="preserve"> </w:t>
      </w:r>
      <w:r>
        <w:rPr>
          <w:color w:val="auto"/>
          <w:highlight w:val="none"/>
        </w:rPr>
        <w:t>cm</w:t>
      </w:r>
      <w:r>
        <w:rPr>
          <w:rFonts w:hint="eastAsia"/>
          <w:color w:val="auto"/>
          <w:highlight w:val="none"/>
        </w:rPr>
        <w:t>，外果皮青褐色，有颗粒状突起，突起的顶端有凹点状油室。切面中果皮白色或黄白色，皮外翻，</w:t>
      </w:r>
      <w:r>
        <w:rPr>
          <w:rFonts w:hint="eastAsia"/>
          <w:color w:val="auto"/>
          <w:highlight w:val="none"/>
        </w:rPr>
        <w:t>厚0</w:t>
      </w:r>
      <w:r>
        <w:rPr>
          <w:color w:val="auto"/>
          <w:highlight w:val="none"/>
        </w:rPr>
        <w:t>.6</w:t>
      </w:r>
      <w:r>
        <w:rPr>
          <w:rFonts w:hint="eastAsia"/>
          <w:color w:val="auto"/>
          <w:highlight w:val="none"/>
          <w:lang w:val="en-US" w:eastAsia="zh-CN"/>
        </w:rPr>
        <w:t xml:space="preserve"> </w:t>
      </w:r>
      <w:r>
        <w:rPr>
          <w:rFonts w:hint="eastAsia"/>
          <w:color w:val="auto"/>
          <w:highlight w:val="none"/>
        </w:rPr>
        <w:t>cm～</w:t>
      </w:r>
      <w:r>
        <w:rPr>
          <w:color w:val="auto"/>
          <w:highlight w:val="none"/>
        </w:rPr>
        <w:t>1.</w:t>
      </w:r>
      <w:r>
        <w:rPr>
          <w:rFonts w:hint="eastAsia"/>
          <w:color w:val="auto"/>
          <w:highlight w:val="none"/>
          <w:lang w:val="en-US" w:eastAsia="zh-CN"/>
        </w:rPr>
        <w:t xml:space="preserve">3 </w:t>
      </w:r>
      <w:r>
        <w:rPr>
          <w:rFonts w:hint="eastAsia"/>
          <w:color w:val="auto"/>
          <w:highlight w:val="none"/>
        </w:rPr>
        <w:t>cm</w:t>
      </w:r>
      <w:r>
        <w:rPr>
          <w:rFonts w:hint="eastAsia"/>
          <w:color w:val="auto"/>
          <w:highlight w:val="none"/>
        </w:rPr>
        <w:t>，质坚硬，</w:t>
      </w:r>
      <w:r>
        <w:rPr>
          <w:rFonts w:hint="eastAsia"/>
          <w:color w:val="auto"/>
          <w:highlight w:val="none"/>
        </w:rPr>
        <w:t>瓤囊7瓣～</w:t>
      </w:r>
      <w:r>
        <w:rPr>
          <w:rFonts w:hint="eastAsia"/>
          <w:color w:val="auto"/>
          <w:highlight w:val="none"/>
          <w:lang w:val="en-US" w:eastAsia="zh-CN"/>
        </w:rPr>
        <w:t>9</w:t>
      </w:r>
      <w:r>
        <w:rPr>
          <w:rFonts w:hint="eastAsia"/>
          <w:color w:val="auto"/>
          <w:highlight w:val="none"/>
        </w:rPr>
        <w:t>瓣</w:t>
      </w:r>
      <w:r>
        <w:rPr>
          <w:rFonts w:hint="eastAsia"/>
          <w:color w:val="auto"/>
          <w:highlight w:val="none"/>
        </w:rPr>
        <w:t>，汁囊干缩呈黄白色，气清</w:t>
      </w:r>
      <w:r>
        <w:rPr>
          <w:rFonts w:hint="eastAsia"/>
          <w:color w:val="auto"/>
          <w:highlight w:val="none"/>
          <w:lang w:eastAsia="zh-CN"/>
        </w:rPr>
        <w:t>香</w:t>
      </w:r>
      <w:r>
        <w:rPr>
          <w:rFonts w:hint="eastAsia"/>
          <w:color w:val="auto"/>
          <w:highlight w:val="none"/>
        </w:rPr>
        <w:t>，味苦</w:t>
      </w:r>
      <w:r>
        <w:rPr>
          <w:rFonts w:hint="eastAsia"/>
          <w:color w:val="auto"/>
          <w:highlight w:val="none"/>
          <w:lang w:eastAsia="zh-CN"/>
        </w:rPr>
        <w:t>、</w:t>
      </w:r>
      <w:r>
        <w:rPr>
          <w:rFonts w:hint="eastAsia"/>
          <w:color w:val="auto"/>
          <w:highlight w:val="none"/>
        </w:rPr>
        <w:t>微酸。</w:t>
      </w:r>
    </w:p>
    <w:p w14:paraId="79C07C96">
      <w:pPr>
        <w:pStyle w:val="65"/>
        <w:numPr>
          <w:ilvl w:val="0"/>
          <w:numId w:val="0"/>
        </w:numPr>
        <w:spacing w:before="156" w:after="156"/>
        <w:ind w:left="0" w:leftChars="0" w:firstLine="0" w:firstLineChars="0"/>
        <w:rPr>
          <w:color w:val="auto"/>
          <w:highlight w:val="none"/>
        </w:rPr>
      </w:pPr>
      <w:r>
        <w:rPr>
          <w:rFonts w:hint="eastAsia" w:ascii="黑体" w:hAnsi="Times New Roman" w:eastAsia="黑体"/>
          <w:b w:val="0"/>
          <w:i w:val="0"/>
          <w:color w:val="auto"/>
          <w:sz w:val="21"/>
          <w:szCs w:val="21"/>
          <w:highlight w:val="none"/>
          <w:lang w:val="en-US" w:eastAsia="zh-CN" w:bidi="ar-SA"/>
        </w:rPr>
        <w:t>5.4.2　</w:t>
      </w:r>
      <w:r>
        <w:rPr>
          <w:rFonts w:hint="eastAsia"/>
          <w:color w:val="auto"/>
          <w:highlight w:val="none"/>
        </w:rPr>
        <w:t>理化指标</w:t>
      </w:r>
    </w:p>
    <w:p w14:paraId="3A85FD99">
      <w:pPr>
        <w:pStyle w:val="23"/>
        <w:rPr>
          <w:color w:val="auto"/>
          <w:highlight w:val="none"/>
        </w:rPr>
      </w:pPr>
      <w:r>
        <w:rPr>
          <w:rFonts w:hint="eastAsia"/>
          <w:color w:val="auto"/>
          <w:highlight w:val="none"/>
        </w:rPr>
        <w:t>应符合表</w:t>
      </w:r>
      <w:r>
        <w:rPr>
          <w:color w:val="auto"/>
          <w:highlight w:val="none"/>
        </w:rPr>
        <w:t>1</w:t>
      </w:r>
      <w:r>
        <w:rPr>
          <w:rFonts w:hint="eastAsia"/>
          <w:color w:val="auto"/>
          <w:highlight w:val="none"/>
        </w:rPr>
        <w:t>的要求。</w:t>
      </w:r>
    </w:p>
    <w:p w14:paraId="3D0AF319">
      <w:pPr>
        <w:pStyle w:val="78"/>
        <w:rPr>
          <w:rFonts w:hint="eastAsia"/>
          <w:color w:val="auto"/>
          <w:highlight w:val="none"/>
        </w:rPr>
      </w:pPr>
      <w:r>
        <w:rPr>
          <w:rFonts w:hint="eastAsia"/>
          <w:color w:val="auto"/>
          <w:highlight w:val="none"/>
        </w:rPr>
        <w:t>理化指标</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5"/>
        <w:gridCol w:w="4786"/>
      </w:tblGrid>
      <w:tr w14:paraId="00D62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4785" w:type="dxa"/>
            <w:noWrap w:val="0"/>
            <w:vAlign w:val="top"/>
          </w:tcPr>
          <w:p w14:paraId="0EB074D3">
            <w:pPr>
              <w:pStyle w:val="23"/>
              <w:ind w:firstLine="0" w:firstLineChars="0"/>
              <w:jc w:val="center"/>
              <w:rPr>
                <w:rFonts w:hint="eastAsia"/>
                <w:color w:val="auto"/>
                <w:sz w:val="18"/>
                <w:szCs w:val="18"/>
                <w:highlight w:val="none"/>
              </w:rPr>
            </w:pPr>
            <w:r>
              <w:rPr>
                <w:rFonts w:hint="eastAsia"/>
                <w:color w:val="auto"/>
                <w:sz w:val="18"/>
                <w:szCs w:val="18"/>
                <w:highlight w:val="none"/>
              </w:rPr>
              <w:t>项目</w:t>
            </w:r>
          </w:p>
        </w:tc>
        <w:tc>
          <w:tcPr>
            <w:tcW w:w="4786" w:type="dxa"/>
            <w:noWrap w:val="0"/>
            <w:vAlign w:val="top"/>
          </w:tcPr>
          <w:p w14:paraId="7B815DCC">
            <w:pPr>
              <w:pStyle w:val="23"/>
              <w:ind w:firstLine="0" w:firstLineChars="0"/>
              <w:jc w:val="center"/>
              <w:rPr>
                <w:rFonts w:hint="eastAsia"/>
                <w:color w:val="auto"/>
                <w:sz w:val="18"/>
                <w:szCs w:val="18"/>
                <w:highlight w:val="none"/>
              </w:rPr>
            </w:pPr>
            <w:r>
              <w:rPr>
                <w:rFonts w:hint="eastAsia"/>
                <w:color w:val="auto"/>
                <w:sz w:val="18"/>
                <w:szCs w:val="18"/>
                <w:highlight w:val="none"/>
              </w:rPr>
              <w:t>指标</w:t>
            </w:r>
          </w:p>
        </w:tc>
      </w:tr>
      <w:tr w14:paraId="126F1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45CBFEEF">
            <w:pPr>
              <w:pStyle w:val="23"/>
              <w:tabs>
                <w:tab w:val="center" w:pos="4536"/>
                <w:tab w:val="clear" w:pos="4201"/>
              </w:tabs>
              <w:ind w:left="707" w:hanging="707" w:hangingChars="393"/>
              <w:rPr>
                <w:rFonts w:hint="eastAsia"/>
                <w:color w:val="auto"/>
                <w:sz w:val="18"/>
                <w:szCs w:val="18"/>
                <w:highlight w:val="none"/>
              </w:rPr>
            </w:pPr>
            <w:r>
              <w:rPr>
                <w:rFonts w:hint="eastAsia"/>
                <w:color w:val="auto"/>
                <w:sz w:val="18"/>
                <w:szCs w:val="18"/>
                <w:highlight w:val="none"/>
              </w:rPr>
              <w:t>水分，%</w:t>
            </w:r>
            <w:r>
              <w:rPr>
                <w:color w:val="auto"/>
                <w:sz w:val="18"/>
                <w:szCs w:val="18"/>
                <w:highlight w:val="none"/>
              </w:rPr>
              <w:t xml:space="preserve">  </w:t>
            </w:r>
            <w:r>
              <w:rPr>
                <w:rFonts w:hint="eastAsia"/>
                <w:color w:val="auto"/>
                <w:sz w:val="18"/>
                <w:szCs w:val="18"/>
                <w:highlight w:val="none"/>
              </w:rPr>
              <w:t xml:space="preserve">                                 </w:t>
            </w:r>
            <w:r>
              <w:rPr>
                <w:color w:val="auto"/>
                <w:sz w:val="18"/>
                <w:szCs w:val="18"/>
                <w:highlight w:val="none"/>
              </w:rPr>
              <w:t xml:space="preserve">       </w:t>
            </w:r>
          </w:p>
        </w:tc>
        <w:tc>
          <w:tcPr>
            <w:tcW w:w="4786" w:type="dxa"/>
            <w:noWrap w:val="0"/>
            <w:vAlign w:val="top"/>
          </w:tcPr>
          <w:p w14:paraId="73788961">
            <w:pPr>
              <w:pStyle w:val="23"/>
              <w:ind w:firstLine="0" w:firstLineChars="0"/>
              <w:rPr>
                <w:rFonts w:hint="default" w:eastAsia="宋体"/>
                <w:color w:val="auto"/>
                <w:sz w:val="18"/>
                <w:szCs w:val="18"/>
                <w:highlight w:val="none"/>
                <w:lang w:val="en-US" w:eastAsia="zh-CN"/>
              </w:rPr>
            </w:pPr>
            <w:r>
              <w:rPr>
                <w:rFonts w:hint="eastAsia"/>
                <w:color w:val="auto"/>
                <w:sz w:val="18"/>
                <w:szCs w:val="18"/>
                <w:highlight w:val="none"/>
              </w:rPr>
              <w:t>≤</w:t>
            </w:r>
            <w:r>
              <w:rPr>
                <w:color w:val="auto"/>
                <w:sz w:val="18"/>
                <w:szCs w:val="18"/>
                <w:highlight w:val="none"/>
              </w:rPr>
              <w:t>12</w:t>
            </w:r>
            <w:r>
              <w:rPr>
                <w:rFonts w:hint="eastAsia"/>
                <w:color w:val="auto"/>
                <w:sz w:val="18"/>
                <w:szCs w:val="18"/>
                <w:highlight w:val="none"/>
                <w:lang w:val="en-US" w:eastAsia="zh-CN"/>
              </w:rPr>
              <w:t>.0</w:t>
            </w:r>
          </w:p>
        </w:tc>
      </w:tr>
      <w:tr w14:paraId="34A8F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6C50BFDB">
            <w:pPr>
              <w:pStyle w:val="23"/>
              <w:ind w:firstLine="0" w:firstLineChars="0"/>
              <w:jc w:val="left"/>
              <w:rPr>
                <w:rFonts w:hint="eastAsia"/>
                <w:color w:val="auto"/>
                <w:sz w:val="18"/>
                <w:szCs w:val="18"/>
                <w:highlight w:val="none"/>
              </w:rPr>
            </w:pPr>
            <w:r>
              <w:rPr>
                <w:rFonts w:hint="eastAsia"/>
                <w:color w:val="auto"/>
                <w:sz w:val="18"/>
                <w:szCs w:val="18"/>
                <w:highlight w:val="none"/>
              </w:rPr>
              <w:t>柚皮苷</w:t>
            </w:r>
            <w:r>
              <w:rPr>
                <w:rFonts w:hint="eastAsia"/>
                <w:color w:val="auto"/>
                <w:sz w:val="18"/>
                <w:szCs w:val="18"/>
                <w:highlight w:val="none"/>
                <w:lang w:eastAsia="zh-CN"/>
              </w:rPr>
              <w:t>（</w:t>
            </w:r>
            <m:oMath>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C</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27</m:t>
                  </m:r>
                  <m:ctrlPr>
                    <w:rPr>
                      <w:rFonts w:hint="default" w:ascii="Cambria Math" w:hAnsi="Cambria Math"/>
                      <w:color w:val="auto"/>
                      <w:sz w:val="18"/>
                      <w:szCs w:val="18"/>
                      <w:highlight w:val="none"/>
                      <w:lang w:val="en-US" w:eastAsia="zh-CN" w:bidi="ar-SA"/>
                    </w:rPr>
                  </m:ctrlPr>
                </m:sub>
              </m:sSub>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H</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32</m:t>
                  </m:r>
                  <m:ctrlPr>
                    <w:rPr>
                      <w:rFonts w:hint="default" w:ascii="Cambria Math" w:hAnsi="Cambria Math"/>
                      <w:color w:val="auto"/>
                      <w:sz w:val="18"/>
                      <w:szCs w:val="18"/>
                      <w:highlight w:val="none"/>
                      <w:lang w:val="en-US" w:eastAsia="zh-CN" w:bidi="ar-SA"/>
                    </w:rPr>
                  </m:ctrlPr>
                </m:sub>
              </m:sSub>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O</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14</m:t>
                  </m:r>
                  <m:ctrlPr>
                    <w:rPr>
                      <w:rFonts w:hint="default" w:ascii="Cambria Math" w:hAnsi="Cambria Math"/>
                      <w:color w:val="auto"/>
                      <w:sz w:val="18"/>
                      <w:szCs w:val="18"/>
                      <w:highlight w:val="none"/>
                      <w:lang w:val="en-US" w:eastAsia="zh-CN" w:bidi="ar-SA"/>
                    </w:rPr>
                  </m:ctrlPr>
                </m:sub>
              </m:sSub>
            </m:oMath>
            <w:r>
              <w:rPr>
                <w:rFonts w:hint="eastAsia"/>
                <w:color w:val="auto"/>
                <w:sz w:val="18"/>
                <w:szCs w:val="18"/>
                <w:highlight w:val="none"/>
                <w:lang w:val="en-US" w:eastAsia="zh-CN"/>
              </w:rPr>
              <w:t>，按干燥品计算</w:t>
            </w:r>
            <w:r>
              <w:rPr>
                <w:rFonts w:hint="eastAsia"/>
                <w:color w:val="auto"/>
                <w:sz w:val="18"/>
                <w:szCs w:val="18"/>
                <w:highlight w:val="none"/>
                <w:lang w:eastAsia="zh-CN"/>
              </w:rPr>
              <w:t>）</w:t>
            </w:r>
            <w:r>
              <w:rPr>
                <w:rFonts w:hint="eastAsia"/>
                <w:color w:val="auto"/>
                <w:sz w:val="18"/>
                <w:szCs w:val="18"/>
                <w:highlight w:val="none"/>
              </w:rPr>
              <w:t>，%</w:t>
            </w:r>
            <w:r>
              <w:rPr>
                <w:color w:val="auto"/>
                <w:sz w:val="18"/>
                <w:szCs w:val="18"/>
                <w:highlight w:val="none"/>
              </w:rPr>
              <w:t xml:space="preserve">                                        </w:t>
            </w:r>
          </w:p>
        </w:tc>
        <w:tc>
          <w:tcPr>
            <w:tcW w:w="4786" w:type="dxa"/>
            <w:noWrap w:val="0"/>
            <w:vAlign w:val="top"/>
          </w:tcPr>
          <w:p w14:paraId="35D35192">
            <w:pPr>
              <w:pStyle w:val="23"/>
              <w:ind w:firstLine="0" w:firstLineChars="0"/>
              <w:rPr>
                <w:rFonts w:hint="eastAsia"/>
                <w:color w:val="auto"/>
                <w:sz w:val="18"/>
                <w:szCs w:val="18"/>
                <w:highlight w:val="none"/>
              </w:rPr>
            </w:pPr>
            <w:r>
              <w:rPr>
                <w:rFonts w:hint="eastAsia"/>
                <w:color w:val="auto"/>
                <w:sz w:val="18"/>
                <w:szCs w:val="18"/>
                <w:highlight w:val="none"/>
              </w:rPr>
              <w:t>≥</w:t>
            </w:r>
            <w:r>
              <w:rPr>
                <w:color w:val="auto"/>
                <w:sz w:val="18"/>
                <w:szCs w:val="18"/>
                <w:highlight w:val="none"/>
              </w:rPr>
              <w:t>4.2</w:t>
            </w:r>
          </w:p>
        </w:tc>
      </w:tr>
      <w:tr w14:paraId="55B76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62B33703">
            <w:pPr>
              <w:pStyle w:val="23"/>
              <w:ind w:firstLine="0" w:firstLineChars="0"/>
              <w:jc w:val="left"/>
              <w:rPr>
                <w:rFonts w:hint="eastAsia"/>
                <w:color w:val="auto"/>
                <w:sz w:val="18"/>
                <w:szCs w:val="18"/>
                <w:highlight w:val="none"/>
              </w:rPr>
            </w:pPr>
            <w:r>
              <w:rPr>
                <w:rFonts w:hint="eastAsia"/>
                <w:color w:val="auto"/>
                <w:sz w:val="18"/>
                <w:szCs w:val="18"/>
                <w:highlight w:val="none"/>
              </w:rPr>
              <w:t>新橙皮苷</w:t>
            </w:r>
            <w:r>
              <w:rPr>
                <w:rFonts w:hint="eastAsia"/>
                <w:color w:val="auto"/>
                <w:sz w:val="18"/>
                <w:szCs w:val="18"/>
                <w:highlight w:val="none"/>
                <w:lang w:eastAsia="zh-CN"/>
              </w:rPr>
              <w:t>（</w:t>
            </w:r>
            <m:oMath>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C</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28</m:t>
                  </m:r>
                  <m:ctrlPr>
                    <w:rPr>
                      <w:rFonts w:hint="default" w:ascii="Cambria Math" w:hAnsi="Cambria Math"/>
                      <w:color w:val="auto"/>
                      <w:sz w:val="18"/>
                      <w:szCs w:val="18"/>
                      <w:highlight w:val="none"/>
                      <w:lang w:val="en-US" w:eastAsia="zh-CN" w:bidi="ar-SA"/>
                    </w:rPr>
                  </m:ctrlPr>
                </m:sub>
              </m:sSub>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H</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34</m:t>
                  </m:r>
                  <m:ctrlPr>
                    <w:rPr>
                      <w:rFonts w:hint="default" w:ascii="Cambria Math" w:hAnsi="Cambria Math"/>
                      <w:color w:val="auto"/>
                      <w:sz w:val="18"/>
                      <w:szCs w:val="18"/>
                      <w:highlight w:val="none"/>
                      <w:lang w:val="en-US" w:eastAsia="zh-CN" w:bidi="ar-SA"/>
                    </w:rPr>
                  </m:ctrlPr>
                </m:sub>
              </m:sSub>
              <m:sSub>
                <m:sSubPr>
                  <m:ctrlPr>
                    <w:rPr>
                      <w:rFonts w:hint="default" w:ascii="Cambria Math" w:hAnsi="Cambria Math"/>
                      <w:color w:val="auto"/>
                      <w:sz w:val="18"/>
                      <w:szCs w:val="18"/>
                      <w:highlight w:val="none"/>
                      <w:lang w:val="en-US" w:eastAsia="zh-CN" w:bidi="ar-SA"/>
                    </w:rPr>
                  </m:ctrlPr>
                </m:sSubPr>
                <m:e>
                  <m:r>
                    <m:rPr>
                      <m:sty m:val="p"/>
                    </m:rPr>
                    <w:rPr>
                      <w:rFonts w:hint="default" w:ascii="Cambria Math" w:hAnsi="Cambria Math"/>
                      <w:color w:val="auto"/>
                      <w:sz w:val="18"/>
                      <w:szCs w:val="18"/>
                      <w:highlight w:val="none"/>
                      <w:lang w:val="en-US" w:eastAsia="zh-CN" w:bidi="ar-SA"/>
                    </w:rPr>
                    <m:t>O</m:t>
                  </m:r>
                  <m:ctrlPr>
                    <w:rPr>
                      <w:rFonts w:hint="default" w:ascii="Cambria Math" w:hAnsi="Cambria Math"/>
                      <w:color w:val="auto"/>
                      <w:sz w:val="18"/>
                      <w:szCs w:val="18"/>
                      <w:highlight w:val="none"/>
                      <w:lang w:val="en-US" w:eastAsia="zh-CN" w:bidi="ar-SA"/>
                    </w:rPr>
                  </m:ctrlPr>
                </m:e>
                <m:sub>
                  <m:r>
                    <m:rPr>
                      <m:sty m:val="p"/>
                    </m:rPr>
                    <w:rPr>
                      <w:rFonts w:hint="default" w:ascii="Cambria Math" w:hAnsi="Cambria Math"/>
                      <w:color w:val="auto"/>
                      <w:sz w:val="18"/>
                      <w:szCs w:val="18"/>
                      <w:highlight w:val="none"/>
                      <w:lang w:val="en-US" w:eastAsia="zh-CN" w:bidi="ar-SA"/>
                    </w:rPr>
                    <m:t>15</m:t>
                  </m:r>
                  <m:ctrlPr>
                    <w:rPr>
                      <w:rFonts w:hint="default" w:ascii="Cambria Math" w:hAnsi="Cambria Math"/>
                      <w:color w:val="auto"/>
                      <w:sz w:val="18"/>
                      <w:szCs w:val="18"/>
                      <w:highlight w:val="none"/>
                      <w:lang w:val="en-US" w:eastAsia="zh-CN" w:bidi="ar-SA"/>
                    </w:rPr>
                  </m:ctrlPr>
                </m:sub>
              </m:sSub>
            </m:oMath>
            <w:r>
              <w:rPr>
                <w:rFonts w:hint="eastAsia"/>
                <w:color w:val="auto"/>
                <w:sz w:val="18"/>
                <w:szCs w:val="18"/>
                <w:highlight w:val="none"/>
                <w:lang w:val="en-US" w:eastAsia="zh-CN"/>
              </w:rPr>
              <w:t>，按干燥品计算</w:t>
            </w:r>
            <w:r>
              <w:rPr>
                <w:rFonts w:hint="eastAsia"/>
                <w:color w:val="auto"/>
                <w:sz w:val="18"/>
                <w:szCs w:val="18"/>
                <w:highlight w:val="none"/>
                <w:lang w:eastAsia="zh-CN"/>
              </w:rPr>
              <w:t>）</w:t>
            </w:r>
            <w:r>
              <w:rPr>
                <w:rFonts w:hint="eastAsia"/>
                <w:color w:val="auto"/>
                <w:sz w:val="18"/>
                <w:szCs w:val="18"/>
                <w:highlight w:val="none"/>
              </w:rPr>
              <w:t xml:space="preserve">，% </w:t>
            </w:r>
            <w:r>
              <w:rPr>
                <w:color w:val="auto"/>
                <w:sz w:val="18"/>
                <w:szCs w:val="18"/>
                <w:highlight w:val="none"/>
              </w:rPr>
              <w:t xml:space="preserve">                                     </w:t>
            </w:r>
          </w:p>
        </w:tc>
        <w:tc>
          <w:tcPr>
            <w:tcW w:w="4786" w:type="dxa"/>
            <w:noWrap w:val="0"/>
            <w:vAlign w:val="top"/>
          </w:tcPr>
          <w:p w14:paraId="0183881E">
            <w:pPr>
              <w:pStyle w:val="23"/>
              <w:ind w:firstLine="0" w:firstLineChars="0"/>
              <w:rPr>
                <w:color w:val="auto"/>
                <w:sz w:val="18"/>
                <w:szCs w:val="18"/>
                <w:highlight w:val="none"/>
              </w:rPr>
            </w:pPr>
            <w:r>
              <w:rPr>
                <w:rFonts w:hint="eastAsia"/>
                <w:color w:val="auto"/>
                <w:sz w:val="18"/>
                <w:szCs w:val="18"/>
                <w:highlight w:val="none"/>
              </w:rPr>
              <w:t>≥</w:t>
            </w:r>
            <w:r>
              <w:rPr>
                <w:color w:val="auto"/>
                <w:sz w:val="18"/>
                <w:szCs w:val="18"/>
                <w:highlight w:val="none"/>
              </w:rPr>
              <w:t>3.2</w:t>
            </w:r>
          </w:p>
        </w:tc>
      </w:tr>
      <w:tr w14:paraId="28AF1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25C194DC">
            <w:pPr>
              <w:pStyle w:val="23"/>
              <w:ind w:firstLine="0" w:firstLineChars="0"/>
              <w:rPr>
                <w:rFonts w:hint="eastAsia"/>
                <w:color w:val="auto"/>
                <w:sz w:val="18"/>
                <w:szCs w:val="18"/>
                <w:highlight w:val="none"/>
              </w:rPr>
            </w:pPr>
            <w:r>
              <w:rPr>
                <w:rFonts w:hint="eastAsia"/>
                <w:color w:val="auto"/>
                <w:sz w:val="18"/>
                <w:szCs w:val="18"/>
                <w:highlight w:val="none"/>
              </w:rPr>
              <w:t xml:space="preserve">总灰分，% </w:t>
            </w:r>
            <w:r>
              <w:rPr>
                <w:color w:val="auto"/>
                <w:sz w:val="18"/>
                <w:szCs w:val="18"/>
                <w:highlight w:val="none"/>
              </w:rPr>
              <w:t xml:space="preserve">                                       </w:t>
            </w:r>
          </w:p>
        </w:tc>
        <w:tc>
          <w:tcPr>
            <w:tcW w:w="4786" w:type="dxa"/>
            <w:noWrap w:val="0"/>
            <w:vAlign w:val="top"/>
          </w:tcPr>
          <w:p w14:paraId="530C0BA9">
            <w:pPr>
              <w:pStyle w:val="23"/>
              <w:ind w:firstLine="0" w:firstLineChars="0"/>
              <w:rPr>
                <w:rFonts w:hint="eastAsia"/>
                <w:color w:val="auto"/>
                <w:sz w:val="18"/>
                <w:szCs w:val="18"/>
                <w:highlight w:val="none"/>
              </w:rPr>
            </w:pPr>
            <w:r>
              <w:rPr>
                <w:rFonts w:hint="eastAsia"/>
                <w:color w:val="auto"/>
                <w:sz w:val="18"/>
                <w:szCs w:val="18"/>
                <w:highlight w:val="none"/>
              </w:rPr>
              <w:t>≤7</w:t>
            </w:r>
            <w:r>
              <w:rPr>
                <w:color w:val="auto"/>
                <w:sz w:val="18"/>
                <w:szCs w:val="18"/>
                <w:highlight w:val="none"/>
              </w:rPr>
              <w:t>.0</w:t>
            </w:r>
          </w:p>
        </w:tc>
      </w:tr>
    </w:tbl>
    <w:p w14:paraId="05B0EFA8">
      <w:pPr>
        <w:pStyle w:val="65"/>
        <w:numPr>
          <w:ilvl w:val="0"/>
          <w:numId w:val="0"/>
        </w:numPr>
        <w:spacing w:before="156" w:after="156"/>
        <w:ind w:left="0" w:leftChars="0" w:firstLine="0" w:firstLineChars="0"/>
        <w:rPr>
          <w:rFonts w:hint="eastAsia" w:eastAsia="黑体"/>
          <w:color w:val="auto"/>
          <w:highlight w:val="none"/>
          <w:lang w:val="en-US" w:eastAsia="zh-CN"/>
        </w:rPr>
      </w:pPr>
      <w:r>
        <w:rPr>
          <w:rFonts w:hint="eastAsia" w:ascii="黑体" w:hAnsi="Times New Roman" w:eastAsia="黑体"/>
          <w:b w:val="0"/>
          <w:i w:val="0"/>
          <w:color w:val="auto"/>
          <w:sz w:val="21"/>
          <w:szCs w:val="21"/>
          <w:highlight w:val="none"/>
          <w:lang w:val="en-US" w:eastAsia="zh-CN" w:bidi="ar-SA"/>
        </w:rPr>
        <w:t>5.4.3　</w:t>
      </w:r>
      <w:r>
        <w:rPr>
          <w:rFonts w:hint="eastAsia"/>
          <w:color w:val="auto"/>
          <w:highlight w:val="none"/>
        </w:rPr>
        <w:t>重金属</w:t>
      </w:r>
      <w:r>
        <w:rPr>
          <w:rFonts w:hint="eastAsia"/>
          <w:color w:val="auto"/>
          <w:highlight w:val="none"/>
          <w:lang w:eastAsia="zh-CN"/>
        </w:rPr>
        <w:t>及有害元素</w:t>
      </w:r>
    </w:p>
    <w:p w14:paraId="1B2BE0D8">
      <w:pPr>
        <w:pStyle w:val="23"/>
        <w:rPr>
          <w:rFonts w:hint="eastAsia"/>
          <w:color w:val="auto"/>
          <w:highlight w:val="none"/>
        </w:rPr>
      </w:pPr>
      <w:r>
        <w:rPr>
          <w:rFonts w:hint="eastAsia"/>
          <w:color w:val="auto"/>
          <w:highlight w:val="none"/>
        </w:rPr>
        <w:t>应符合</w:t>
      </w:r>
      <w:r>
        <w:rPr>
          <w:rFonts w:hint="eastAsia"/>
          <w:color w:val="auto"/>
          <w:highlight w:val="none"/>
          <w:lang w:eastAsia="zh-CN"/>
        </w:rPr>
        <w:t>表</w:t>
      </w:r>
      <w:r>
        <w:rPr>
          <w:color w:val="auto"/>
          <w:highlight w:val="none"/>
        </w:rPr>
        <w:t>2</w:t>
      </w:r>
      <w:r>
        <w:rPr>
          <w:rFonts w:hint="eastAsia"/>
          <w:color w:val="auto"/>
          <w:highlight w:val="none"/>
        </w:rPr>
        <w:t>规定。</w:t>
      </w:r>
    </w:p>
    <w:p w14:paraId="6EA6B7C4">
      <w:pPr>
        <w:pStyle w:val="78"/>
        <w:rPr>
          <w:rFonts w:hint="eastAsia"/>
          <w:color w:val="auto"/>
          <w:highlight w:val="none"/>
        </w:rPr>
      </w:pPr>
      <w:r>
        <w:rPr>
          <w:rFonts w:hint="eastAsia"/>
          <w:color w:val="auto"/>
          <w:highlight w:val="none"/>
        </w:rPr>
        <w:t>重金属</w:t>
      </w:r>
      <w:r>
        <w:rPr>
          <w:rFonts w:hint="eastAsia"/>
          <w:color w:val="auto"/>
          <w:highlight w:val="none"/>
          <w:lang w:eastAsia="zh-CN"/>
        </w:rPr>
        <w:t>及有害元素</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5"/>
        <w:gridCol w:w="4786"/>
      </w:tblGrid>
      <w:tr w14:paraId="65DFF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4785" w:type="dxa"/>
            <w:noWrap w:val="0"/>
            <w:vAlign w:val="top"/>
          </w:tcPr>
          <w:p w14:paraId="18E36AB8">
            <w:pPr>
              <w:pStyle w:val="23"/>
              <w:ind w:firstLine="0" w:firstLineChars="0"/>
              <w:jc w:val="center"/>
              <w:rPr>
                <w:rFonts w:hint="eastAsia"/>
                <w:color w:val="auto"/>
                <w:sz w:val="18"/>
                <w:szCs w:val="18"/>
                <w:highlight w:val="none"/>
              </w:rPr>
            </w:pPr>
            <w:r>
              <w:rPr>
                <w:rFonts w:hint="eastAsia"/>
                <w:color w:val="auto"/>
                <w:sz w:val="18"/>
                <w:szCs w:val="18"/>
                <w:highlight w:val="none"/>
              </w:rPr>
              <w:t>项目</w:t>
            </w:r>
          </w:p>
        </w:tc>
        <w:tc>
          <w:tcPr>
            <w:tcW w:w="4786" w:type="dxa"/>
            <w:noWrap w:val="0"/>
            <w:vAlign w:val="top"/>
          </w:tcPr>
          <w:p w14:paraId="39B935A8">
            <w:pPr>
              <w:pStyle w:val="23"/>
              <w:ind w:firstLine="0" w:firstLineChars="0"/>
              <w:jc w:val="center"/>
              <w:rPr>
                <w:rFonts w:hint="eastAsia"/>
                <w:color w:val="auto"/>
                <w:sz w:val="18"/>
                <w:szCs w:val="18"/>
                <w:highlight w:val="none"/>
              </w:rPr>
            </w:pPr>
            <w:r>
              <w:rPr>
                <w:rFonts w:hint="eastAsia"/>
                <w:color w:val="auto"/>
                <w:sz w:val="18"/>
                <w:szCs w:val="18"/>
                <w:highlight w:val="none"/>
              </w:rPr>
              <w:t>指标</w:t>
            </w:r>
          </w:p>
        </w:tc>
      </w:tr>
      <w:tr w14:paraId="06231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7EF0EE60">
            <w:pPr>
              <w:pStyle w:val="23"/>
              <w:tabs>
                <w:tab w:val="center" w:pos="4536"/>
                <w:tab w:val="clear" w:pos="4201"/>
              </w:tabs>
              <w:ind w:left="707" w:hanging="707" w:hangingChars="393"/>
              <w:rPr>
                <w:rFonts w:hint="eastAsia"/>
                <w:color w:val="auto"/>
                <w:sz w:val="18"/>
                <w:szCs w:val="18"/>
                <w:highlight w:val="none"/>
              </w:rPr>
            </w:pPr>
            <w:r>
              <w:rPr>
                <w:rFonts w:hint="eastAsia"/>
                <w:color w:val="auto"/>
                <w:sz w:val="18"/>
                <w:szCs w:val="18"/>
                <w:highlight w:val="none"/>
                <w:lang w:eastAsia="zh-CN"/>
              </w:rPr>
              <w:t>铅</w:t>
            </w:r>
            <w:r>
              <w:rPr>
                <w:rFonts w:hint="eastAsia"/>
                <w:color w:val="auto"/>
                <w:sz w:val="18"/>
                <w:szCs w:val="18"/>
                <w:highlight w:val="none"/>
              </w:rPr>
              <w:t>，</w:t>
            </w:r>
            <w:r>
              <w:rPr>
                <w:rFonts w:hint="eastAsia"/>
                <w:color w:val="auto"/>
                <w:sz w:val="18"/>
                <w:szCs w:val="18"/>
                <w:highlight w:val="none"/>
                <w:lang w:val="en-US" w:eastAsia="zh-CN"/>
              </w:rPr>
              <w:t>mg/kg</w:t>
            </w:r>
            <w:r>
              <w:rPr>
                <w:color w:val="auto"/>
                <w:sz w:val="18"/>
                <w:szCs w:val="18"/>
                <w:highlight w:val="none"/>
              </w:rPr>
              <w:t xml:space="preserve"> </w:t>
            </w:r>
            <w:r>
              <w:rPr>
                <w:rFonts w:hint="eastAsia"/>
                <w:color w:val="auto"/>
                <w:sz w:val="18"/>
                <w:szCs w:val="18"/>
                <w:highlight w:val="none"/>
              </w:rPr>
              <w:t xml:space="preserve">                                 </w:t>
            </w:r>
            <w:r>
              <w:rPr>
                <w:color w:val="auto"/>
                <w:sz w:val="18"/>
                <w:szCs w:val="18"/>
                <w:highlight w:val="none"/>
              </w:rPr>
              <w:t xml:space="preserve">       </w:t>
            </w:r>
          </w:p>
        </w:tc>
        <w:tc>
          <w:tcPr>
            <w:tcW w:w="4786" w:type="dxa"/>
            <w:noWrap w:val="0"/>
            <w:vAlign w:val="top"/>
          </w:tcPr>
          <w:p w14:paraId="02A9F44F">
            <w:pPr>
              <w:pStyle w:val="23"/>
              <w:ind w:firstLine="0" w:firstLineChars="0"/>
              <w:rPr>
                <w:rFonts w:hint="eastAsia" w:eastAsia="宋体"/>
                <w:color w:val="auto"/>
                <w:sz w:val="18"/>
                <w:szCs w:val="18"/>
                <w:highlight w:val="none"/>
                <w:lang w:val="en-US" w:eastAsia="zh-CN"/>
              </w:rPr>
            </w:pPr>
            <w:r>
              <w:rPr>
                <w:rFonts w:hint="eastAsia"/>
                <w:color w:val="auto"/>
                <w:sz w:val="18"/>
                <w:szCs w:val="18"/>
                <w:highlight w:val="none"/>
              </w:rPr>
              <w:t>≤</w:t>
            </w:r>
            <w:r>
              <w:rPr>
                <w:rFonts w:hint="eastAsia"/>
                <w:color w:val="auto"/>
                <w:sz w:val="18"/>
                <w:szCs w:val="18"/>
                <w:highlight w:val="none"/>
                <w:lang w:val="en-US" w:eastAsia="zh-CN"/>
              </w:rPr>
              <w:t>5</w:t>
            </w:r>
          </w:p>
        </w:tc>
      </w:tr>
      <w:tr w14:paraId="1E4EF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455203D7">
            <w:pPr>
              <w:pStyle w:val="23"/>
              <w:ind w:firstLine="0" w:firstLineChars="0"/>
              <w:jc w:val="left"/>
              <w:rPr>
                <w:rFonts w:hint="eastAsia"/>
                <w:color w:val="auto"/>
                <w:sz w:val="18"/>
                <w:szCs w:val="18"/>
                <w:highlight w:val="none"/>
              </w:rPr>
            </w:pPr>
            <w:r>
              <w:rPr>
                <w:rFonts w:hint="eastAsia"/>
                <w:color w:val="auto"/>
                <w:sz w:val="18"/>
                <w:szCs w:val="18"/>
                <w:highlight w:val="none"/>
                <w:lang w:eastAsia="zh-CN"/>
              </w:rPr>
              <w:t>镉</w:t>
            </w:r>
            <w:r>
              <w:rPr>
                <w:rFonts w:hint="eastAsia"/>
                <w:color w:val="auto"/>
                <w:sz w:val="18"/>
                <w:szCs w:val="18"/>
                <w:highlight w:val="none"/>
              </w:rPr>
              <w:t>，</w:t>
            </w:r>
            <w:r>
              <w:rPr>
                <w:rFonts w:hint="eastAsia"/>
                <w:color w:val="auto"/>
                <w:sz w:val="18"/>
                <w:szCs w:val="18"/>
                <w:highlight w:val="none"/>
                <w:lang w:val="en-US" w:eastAsia="zh-CN"/>
              </w:rPr>
              <w:t>mg/kg</w:t>
            </w:r>
            <w:r>
              <w:rPr>
                <w:color w:val="auto"/>
                <w:sz w:val="18"/>
                <w:szCs w:val="18"/>
                <w:highlight w:val="none"/>
              </w:rPr>
              <w:t xml:space="preserve">                                         </w:t>
            </w:r>
          </w:p>
        </w:tc>
        <w:tc>
          <w:tcPr>
            <w:tcW w:w="4786" w:type="dxa"/>
            <w:noWrap w:val="0"/>
            <w:vAlign w:val="top"/>
          </w:tcPr>
          <w:p w14:paraId="3077387F">
            <w:pPr>
              <w:pStyle w:val="23"/>
              <w:ind w:firstLine="0" w:firstLineChars="0"/>
              <w:rPr>
                <w:rFonts w:hint="eastAsia" w:eastAsia="宋体"/>
                <w:color w:val="auto"/>
                <w:sz w:val="18"/>
                <w:szCs w:val="18"/>
                <w:highlight w:val="none"/>
                <w:lang w:val="en-US" w:eastAsia="zh-CN"/>
              </w:rPr>
            </w:pPr>
            <w:r>
              <w:rPr>
                <w:rFonts w:hint="eastAsia"/>
                <w:color w:val="auto"/>
                <w:sz w:val="18"/>
                <w:szCs w:val="18"/>
                <w:highlight w:val="none"/>
              </w:rPr>
              <w:t>≤</w:t>
            </w:r>
            <w:r>
              <w:rPr>
                <w:rFonts w:hint="eastAsia"/>
                <w:color w:val="auto"/>
                <w:sz w:val="18"/>
                <w:szCs w:val="18"/>
                <w:highlight w:val="none"/>
                <w:lang w:val="en-US" w:eastAsia="zh-CN"/>
              </w:rPr>
              <w:t>1</w:t>
            </w:r>
          </w:p>
        </w:tc>
      </w:tr>
      <w:tr w14:paraId="45FAE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002BF656">
            <w:pPr>
              <w:pStyle w:val="23"/>
              <w:ind w:firstLine="0" w:firstLineChars="0"/>
              <w:jc w:val="left"/>
              <w:rPr>
                <w:rFonts w:hint="eastAsia"/>
                <w:color w:val="auto"/>
                <w:sz w:val="18"/>
                <w:szCs w:val="18"/>
                <w:highlight w:val="none"/>
              </w:rPr>
            </w:pPr>
            <w:r>
              <w:rPr>
                <w:rFonts w:hint="eastAsia"/>
                <w:color w:val="auto"/>
                <w:sz w:val="18"/>
                <w:szCs w:val="18"/>
                <w:highlight w:val="none"/>
                <w:lang w:eastAsia="zh-CN"/>
              </w:rPr>
              <w:t>砷</w:t>
            </w:r>
            <w:r>
              <w:rPr>
                <w:rFonts w:hint="eastAsia"/>
                <w:color w:val="auto"/>
                <w:sz w:val="18"/>
                <w:szCs w:val="18"/>
                <w:highlight w:val="none"/>
              </w:rPr>
              <w:t>，</w:t>
            </w:r>
            <w:r>
              <w:rPr>
                <w:rFonts w:hint="eastAsia"/>
                <w:color w:val="auto"/>
                <w:sz w:val="18"/>
                <w:szCs w:val="18"/>
                <w:highlight w:val="none"/>
                <w:lang w:val="en-US" w:eastAsia="zh-CN"/>
              </w:rPr>
              <w:t>mg/kg</w:t>
            </w:r>
            <w:r>
              <w:rPr>
                <w:color w:val="auto"/>
                <w:sz w:val="18"/>
                <w:szCs w:val="18"/>
                <w:highlight w:val="none"/>
              </w:rPr>
              <w:t xml:space="preserve"> </w:t>
            </w:r>
            <w:r>
              <w:rPr>
                <w:rFonts w:hint="eastAsia"/>
                <w:color w:val="auto"/>
                <w:sz w:val="18"/>
                <w:szCs w:val="18"/>
                <w:highlight w:val="none"/>
              </w:rPr>
              <w:t xml:space="preserve"> </w:t>
            </w:r>
            <w:r>
              <w:rPr>
                <w:color w:val="auto"/>
                <w:sz w:val="18"/>
                <w:szCs w:val="18"/>
                <w:highlight w:val="none"/>
              </w:rPr>
              <w:t xml:space="preserve">                                     </w:t>
            </w:r>
          </w:p>
        </w:tc>
        <w:tc>
          <w:tcPr>
            <w:tcW w:w="4786" w:type="dxa"/>
            <w:noWrap w:val="0"/>
            <w:vAlign w:val="top"/>
          </w:tcPr>
          <w:p w14:paraId="68E33994">
            <w:pPr>
              <w:pStyle w:val="23"/>
              <w:ind w:firstLine="0" w:firstLineChars="0"/>
              <w:rPr>
                <w:rFonts w:hint="eastAsia" w:eastAsia="宋体"/>
                <w:color w:val="auto"/>
                <w:sz w:val="18"/>
                <w:szCs w:val="18"/>
                <w:highlight w:val="none"/>
                <w:lang w:eastAsia="zh-CN"/>
              </w:rPr>
            </w:pPr>
            <w:r>
              <w:rPr>
                <w:rFonts w:hint="eastAsia"/>
                <w:color w:val="auto"/>
                <w:sz w:val="18"/>
                <w:szCs w:val="18"/>
                <w:highlight w:val="none"/>
              </w:rPr>
              <w:t>≤</w:t>
            </w:r>
            <w:r>
              <w:rPr>
                <w:rFonts w:hint="eastAsia"/>
                <w:color w:val="auto"/>
                <w:sz w:val="18"/>
                <w:szCs w:val="18"/>
                <w:highlight w:val="none"/>
                <w:lang w:val="en-US" w:eastAsia="zh-CN"/>
              </w:rPr>
              <w:t>2</w:t>
            </w:r>
          </w:p>
        </w:tc>
      </w:tr>
      <w:tr w14:paraId="46FAA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051027BE">
            <w:pPr>
              <w:pStyle w:val="23"/>
              <w:ind w:firstLine="0" w:firstLineChars="0"/>
              <w:rPr>
                <w:rFonts w:hint="eastAsia"/>
                <w:color w:val="auto"/>
                <w:sz w:val="18"/>
                <w:szCs w:val="18"/>
                <w:highlight w:val="none"/>
              </w:rPr>
            </w:pPr>
            <w:r>
              <w:rPr>
                <w:rFonts w:hint="eastAsia"/>
                <w:color w:val="auto"/>
                <w:sz w:val="18"/>
                <w:szCs w:val="18"/>
                <w:highlight w:val="none"/>
                <w:lang w:eastAsia="zh-CN"/>
              </w:rPr>
              <w:t>汞</w:t>
            </w:r>
            <w:r>
              <w:rPr>
                <w:rFonts w:hint="eastAsia"/>
                <w:color w:val="auto"/>
                <w:sz w:val="18"/>
                <w:szCs w:val="18"/>
                <w:highlight w:val="none"/>
              </w:rPr>
              <w:t>，</w:t>
            </w:r>
            <w:r>
              <w:rPr>
                <w:rFonts w:hint="eastAsia"/>
                <w:color w:val="auto"/>
                <w:sz w:val="18"/>
                <w:szCs w:val="18"/>
                <w:highlight w:val="none"/>
                <w:lang w:val="en-US" w:eastAsia="zh-CN"/>
              </w:rPr>
              <w:t>mg/kg</w:t>
            </w:r>
            <w:r>
              <w:rPr>
                <w:color w:val="auto"/>
                <w:sz w:val="18"/>
                <w:szCs w:val="18"/>
                <w:highlight w:val="none"/>
              </w:rPr>
              <w:t xml:space="preserve">                                        </w:t>
            </w:r>
          </w:p>
        </w:tc>
        <w:tc>
          <w:tcPr>
            <w:tcW w:w="4786" w:type="dxa"/>
            <w:noWrap w:val="0"/>
            <w:vAlign w:val="top"/>
          </w:tcPr>
          <w:p w14:paraId="5D8BC9E5">
            <w:pPr>
              <w:pStyle w:val="23"/>
              <w:ind w:firstLine="0" w:firstLineChars="0"/>
              <w:rPr>
                <w:rFonts w:hint="default" w:eastAsia="宋体"/>
                <w:color w:val="auto"/>
                <w:sz w:val="18"/>
                <w:szCs w:val="18"/>
                <w:highlight w:val="none"/>
                <w:lang w:val="en-US" w:eastAsia="zh-CN"/>
              </w:rPr>
            </w:pPr>
            <w:r>
              <w:rPr>
                <w:rFonts w:hint="eastAsia"/>
                <w:color w:val="auto"/>
                <w:sz w:val="18"/>
                <w:szCs w:val="18"/>
                <w:highlight w:val="none"/>
              </w:rPr>
              <w:t>≤</w:t>
            </w:r>
            <w:r>
              <w:rPr>
                <w:rFonts w:hint="eastAsia"/>
                <w:color w:val="auto"/>
                <w:sz w:val="18"/>
                <w:szCs w:val="18"/>
                <w:highlight w:val="none"/>
                <w:lang w:val="en-US" w:eastAsia="zh-CN"/>
              </w:rPr>
              <w:t>0.2</w:t>
            </w:r>
          </w:p>
        </w:tc>
      </w:tr>
      <w:tr w14:paraId="3BB5F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161E027C">
            <w:pPr>
              <w:pStyle w:val="23"/>
              <w:ind w:firstLine="0" w:firstLineChars="0"/>
              <w:rPr>
                <w:rFonts w:hint="eastAsia"/>
                <w:color w:val="auto"/>
                <w:sz w:val="18"/>
                <w:szCs w:val="18"/>
                <w:highlight w:val="none"/>
                <w:lang w:eastAsia="zh-CN"/>
              </w:rPr>
            </w:pPr>
            <w:r>
              <w:rPr>
                <w:rFonts w:hint="eastAsia"/>
                <w:color w:val="auto"/>
                <w:sz w:val="18"/>
                <w:szCs w:val="18"/>
                <w:highlight w:val="none"/>
                <w:lang w:eastAsia="zh-CN"/>
              </w:rPr>
              <w:t>铜，</w:t>
            </w:r>
            <w:r>
              <w:rPr>
                <w:rFonts w:hint="eastAsia"/>
                <w:color w:val="auto"/>
                <w:sz w:val="18"/>
                <w:szCs w:val="18"/>
                <w:highlight w:val="none"/>
                <w:lang w:val="en-US" w:eastAsia="zh-CN"/>
              </w:rPr>
              <w:t>mg/kg</w:t>
            </w:r>
            <w:r>
              <w:rPr>
                <w:color w:val="auto"/>
                <w:sz w:val="18"/>
                <w:szCs w:val="18"/>
                <w:highlight w:val="none"/>
              </w:rPr>
              <w:t xml:space="preserve"> </w:t>
            </w:r>
          </w:p>
        </w:tc>
        <w:tc>
          <w:tcPr>
            <w:tcW w:w="4786" w:type="dxa"/>
            <w:noWrap w:val="0"/>
            <w:vAlign w:val="top"/>
          </w:tcPr>
          <w:p w14:paraId="01A016AB">
            <w:pPr>
              <w:pStyle w:val="23"/>
              <w:ind w:firstLine="0" w:firstLineChars="0"/>
              <w:rPr>
                <w:rFonts w:hint="default" w:eastAsia="宋体"/>
                <w:color w:val="auto"/>
                <w:sz w:val="18"/>
                <w:szCs w:val="18"/>
                <w:highlight w:val="none"/>
                <w:lang w:val="en-US" w:eastAsia="zh-CN"/>
              </w:rPr>
            </w:pPr>
            <w:r>
              <w:rPr>
                <w:rFonts w:hint="eastAsia"/>
                <w:color w:val="auto"/>
                <w:sz w:val="18"/>
                <w:szCs w:val="18"/>
                <w:highlight w:val="none"/>
              </w:rPr>
              <w:t>≤</w:t>
            </w:r>
            <w:r>
              <w:rPr>
                <w:rFonts w:hint="eastAsia"/>
                <w:color w:val="auto"/>
                <w:sz w:val="18"/>
                <w:szCs w:val="18"/>
                <w:highlight w:val="none"/>
                <w:lang w:val="en-US" w:eastAsia="zh-CN"/>
              </w:rPr>
              <w:t>20</w:t>
            </w:r>
          </w:p>
        </w:tc>
      </w:tr>
    </w:tbl>
    <w:p w14:paraId="25D21F09">
      <w:pPr>
        <w:pStyle w:val="23"/>
        <w:rPr>
          <w:rFonts w:hint="eastAsia"/>
          <w:color w:val="auto"/>
          <w:highlight w:val="none"/>
        </w:rPr>
      </w:pPr>
    </w:p>
    <w:p w14:paraId="2BABCAE4">
      <w:pPr>
        <w:pStyle w:val="72"/>
        <w:numPr>
          <w:ilvl w:val="0"/>
          <w:numId w:val="0"/>
        </w:numPr>
        <w:ind w:left="0" w:leftChars="0" w:firstLine="0" w:firstLineChars="0"/>
        <w:rPr>
          <w:rFonts w:hint="eastAsia" w:hAnsi="Times New Roman"/>
          <w:b w:val="0"/>
          <w:i w:val="0"/>
          <w:color w:val="auto"/>
          <w:sz w:val="21"/>
          <w:szCs w:val="21"/>
          <w:highlight w:val="none"/>
          <w:lang w:val="en-US" w:eastAsia="zh-CN" w:bidi="ar-SA"/>
        </w:rPr>
      </w:pPr>
      <w:bookmarkStart w:id="57" w:name="_Toc66283691"/>
      <w:r>
        <w:rPr>
          <w:rFonts w:hint="eastAsia" w:ascii="黑体" w:hAnsi="Times New Roman" w:eastAsia="黑体"/>
          <w:b w:val="0"/>
          <w:i w:val="0"/>
          <w:color w:val="auto"/>
          <w:sz w:val="21"/>
          <w:szCs w:val="21"/>
          <w:highlight w:val="none"/>
          <w:lang w:val="en-US" w:eastAsia="zh-CN" w:bidi="ar-SA"/>
        </w:rPr>
        <w:t>5.4.</w:t>
      </w:r>
      <w:r>
        <w:rPr>
          <w:rFonts w:hint="eastAsia" w:hAnsi="Times New Roman"/>
          <w:b w:val="0"/>
          <w:i w:val="0"/>
          <w:color w:val="auto"/>
          <w:sz w:val="21"/>
          <w:szCs w:val="21"/>
          <w:highlight w:val="none"/>
          <w:lang w:val="en-US" w:eastAsia="zh-CN" w:bidi="ar-SA"/>
        </w:rPr>
        <w:t>4  农药残留</w:t>
      </w:r>
    </w:p>
    <w:p w14:paraId="5398F665">
      <w:pPr>
        <w:pStyle w:val="23"/>
        <w:rPr>
          <w:rFonts w:hint="default"/>
          <w:color w:val="auto"/>
          <w:highlight w:val="none"/>
          <w:lang w:val="en-US" w:eastAsia="zh-CN"/>
        </w:rPr>
      </w:pPr>
      <w:r>
        <w:rPr>
          <w:rFonts w:hint="eastAsia" w:hAnsi="Times New Roman"/>
          <w:b w:val="0"/>
          <w:i w:val="0"/>
          <w:color w:val="auto"/>
          <w:sz w:val="21"/>
          <w:szCs w:val="21"/>
          <w:highlight w:val="none"/>
          <w:lang w:val="en-US" w:eastAsia="zh-CN" w:bidi="ar-SA"/>
        </w:rPr>
        <w:t>应符合《中华人民共和国药典》2020年版四部通则0212中有关要求。</w:t>
      </w:r>
    </w:p>
    <w:p w14:paraId="758FAAAB">
      <w:pPr>
        <w:pStyle w:val="72"/>
        <w:numPr>
          <w:ilvl w:val="0"/>
          <w:numId w:val="0"/>
        </w:numPr>
        <w:ind w:left="0" w:leftChars="0" w:firstLine="0" w:firstLineChars="0"/>
        <w:rPr>
          <w:color w:val="auto"/>
          <w:highlight w:val="none"/>
        </w:rPr>
      </w:pPr>
      <w:r>
        <w:rPr>
          <w:rFonts w:hint="eastAsia" w:ascii="黑体" w:hAnsi="Times New Roman" w:eastAsia="黑体"/>
          <w:b w:val="0"/>
          <w:i w:val="0"/>
          <w:color w:val="auto"/>
          <w:sz w:val="21"/>
          <w:szCs w:val="21"/>
          <w:highlight w:val="none"/>
          <w:lang w:val="en-US" w:eastAsia="zh-CN" w:bidi="ar-SA"/>
        </w:rPr>
        <w:t>6　</w:t>
      </w:r>
      <w:r>
        <w:rPr>
          <w:rFonts w:hint="eastAsia"/>
          <w:color w:val="auto"/>
          <w:highlight w:val="none"/>
        </w:rPr>
        <w:t>试验方法</w:t>
      </w:r>
      <w:bookmarkEnd w:id="57"/>
    </w:p>
    <w:p w14:paraId="2169F136">
      <w:pPr>
        <w:pStyle w:val="66"/>
        <w:numPr>
          <w:ilvl w:val="0"/>
          <w:numId w:val="0"/>
        </w:numPr>
        <w:ind w:left="0" w:leftChars="0" w:firstLine="0" w:firstLineChars="0"/>
        <w:rPr>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6.1　</w:t>
      </w:r>
      <w:r>
        <w:rPr>
          <w:rFonts w:hint="eastAsia"/>
          <w:color w:val="auto"/>
          <w:highlight w:val="none"/>
          <w:lang w:eastAsia="zh-CN"/>
        </w:rPr>
        <w:t>性状</w:t>
      </w:r>
      <w:r>
        <w:rPr>
          <w:rFonts w:hint="eastAsia"/>
          <w:color w:val="auto"/>
          <w:highlight w:val="none"/>
        </w:rPr>
        <w:t>指标</w:t>
      </w:r>
    </w:p>
    <w:p w14:paraId="7C71A5B6">
      <w:pPr>
        <w:pStyle w:val="23"/>
        <w:rPr>
          <w:rFonts w:hint="eastAsia"/>
          <w:color w:val="auto"/>
          <w:highlight w:val="none"/>
        </w:rPr>
      </w:pPr>
      <w:r>
        <w:rPr>
          <w:rFonts w:hint="eastAsia"/>
          <w:color w:val="auto"/>
          <w:highlight w:val="none"/>
        </w:rPr>
        <w:t>通过目测、</w:t>
      </w:r>
      <w:r>
        <w:rPr>
          <w:rFonts w:hint="eastAsia"/>
          <w:color w:val="auto"/>
          <w:highlight w:val="none"/>
          <w:lang w:eastAsia="zh-CN"/>
        </w:rPr>
        <w:t>刻度尺测、</w:t>
      </w:r>
      <w:r>
        <w:rPr>
          <w:rFonts w:hint="eastAsia"/>
          <w:color w:val="auto"/>
          <w:highlight w:val="none"/>
        </w:rPr>
        <w:t>手握、鼻嗅和嘴尝</w:t>
      </w:r>
      <w:r>
        <w:rPr>
          <w:rFonts w:hint="eastAsia"/>
          <w:color w:val="auto"/>
          <w:highlight w:val="none"/>
          <w:lang w:eastAsia="zh-CN"/>
        </w:rPr>
        <w:t>等方法进行测定</w:t>
      </w:r>
      <w:r>
        <w:rPr>
          <w:rFonts w:hint="eastAsia"/>
          <w:color w:val="auto"/>
          <w:highlight w:val="none"/>
        </w:rPr>
        <w:t>。</w:t>
      </w:r>
    </w:p>
    <w:p w14:paraId="7341E07A">
      <w:pPr>
        <w:pStyle w:val="66"/>
        <w:numPr>
          <w:ilvl w:val="0"/>
          <w:numId w:val="0"/>
        </w:numPr>
        <w:ind w:left="0" w:leftChars="0" w:firstLine="0" w:firstLineChars="0"/>
        <w:rPr>
          <w:rFonts w:hint="eastAsia"/>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6.2　</w:t>
      </w:r>
      <w:r>
        <w:rPr>
          <w:rFonts w:hint="eastAsia"/>
          <w:color w:val="auto"/>
          <w:highlight w:val="none"/>
        </w:rPr>
        <w:t>理化指标</w:t>
      </w:r>
    </w:p>
    <w:p w14:paraId="2402FFA1">
      <w:pPr>
        <w:pStyle w:val="66"/>
        <w:numPr>
          <w:ilvl w:val="0"/>
          <w:numId w:val="0"/>
        </w:numPr>
        <w:ind w:left="0" w:leftChars="0" w:firstLine="0" w:firstLineChars="0"/>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6.2.1  水分</w:t>
      </w:r>
    </w:p>
    <w:p w14:paraId="1B5552CE">
      <w:pPr>
        <w:pStyle w:val="66"/>
        <w:numPr>
          <w:ilvl w:val="0"/>
          <w:numId w:val="0"/>
        </w:numPr>
        <w:ind w:left="0" w:leftChars="0" w:firstLine="420" w:firstLineChars="200"/>
        <w:rPr>
          <w:rFonts w:hint="eastAsia" w:ascii="宋体" w:hAnsi="Times New Roman" w:eastAsia="宋体" w:cs="Times New Roman"/>
          <w:b w:val="0"/>
          <w:i w:val="0"/>
          <w:color w:val="auto"/>
          <w:sz w:val="21"/>
          <w:szCs w:val="21"/>
          <w:highlight w:val="none"/>
          <w:lang w:val="en-US" w:eastAsia="zh-CN" w:bidi="ar-SA"/>
        </w:rPr>
      </w:pPr>
      <w:r>
        <w:rPr>
          <w:rFonts w:hint="eastAsia" w:ascii="宋体" w:hAnsi="Times New Roman" w:eastAsia="宋体" w:cs="Times New Roman"/>
          <w:b w:val="0"/>
          <w:i w:val="0"/>
          <w:color w:val="auto"/>
          <w:sz w:val="21"/>
          <w:szCs w:val="21"/>
          <w:highlight w:val="none"/>
          <w:lang w:val="en-US" w:eastAsia="zh-CN" w:bidi="ar-SA"/>
        </w:rPr>
        <w:t>按《中华人民共和国药典》2020年版四部通则0832第四法的规定进行测定。</w:t>
      </w:r>
    </w:p>
    <w:p w14:paraId="32D25C19">
      <w:pPr>
        <w:pStyle w:val="66"/>
        <w:numPr>
          <w:ilvl w:val="0"/>
          <w:numId w:val="0"/>
        </w:numPr>
        <w:ind w:left="0" w:leftChars="0" w:firstLine="0" w:firstLineChars="0"/>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6.2.</w:t>
      </w:r>
      <w:r>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总灰分</w:t>
      </w:r>
    </w:p>
    <w:p w14:paraId="3093E6E0">
      <w:pPr>
        <w:pStyle w:val="23"/>
        <w:rPr>
          <w:rFonts w:hint="eastAsia"/>
          <w:color w:val="auto"/>
          <w:highlight w:val="none"/>
          <w:lang w:val="en-US" w:eastAsia="zh-CN"/>
        </w:rPr>
      </w:pPr>
      <w:r>
        <w:rPr>
          <w:rFonts w:hint="eastAsia"/>
          <w:color w:val="auto"/>
          <w:highlight w:val="none"/>
        </w:rPr>
        <w:t>按《中</w:t>
      </w:r>
      <w:r>
        <w:rPr>
          <w:rFonts w:hint="eastAsia"/>
          <w:color w:val="auto"/>
          <w:highlight w:val="none"/>
          <w:lang w:eastAsia="zh-CN"/>
        </w:rPr>
        <w:t>华</w:t>
      </w:r>
      <w:r>
        <w:rPr>
          <w:rFonts w:hint="eastAsia"/>
          <w:color w:val="auto"/>
          <w:highlight w:val="none"/>
        </w:rPr>
        <w:t>人民共和国药典》20</w:t>
      </w:r>
      <w:r>
        <w:rPr>
          <w:color w:val="auto"/>
          <w:highlight w:val="none"/>
        </w:rPr>
        <w:t>20</w:t>
      </w:r>
      <w:r>
        <w:rPr>
          <w:rFonts w:hint="eastAsia"/>
          <w:color w:val="auto"/>
          <w:highlight w:val="none"/>
        </w:rPr>
        <w:t>年版四部通则2302的规定</w:t>
      </w:r>
      <w:r>
        <w:rPr>
          <w:rFonts w:hint="eastAsia"/>
          <w:color w:val="auto"/>
          <w:highlight w:val="none"/>
          <w:lang w:eastAsia="zh-CN"/>
        </w:rPr>
        <w:t>进行测定。</w:t>
      </w:r>
    </w:p>
    <w:p w14:paraId="2BE9564C">
      <w:pPr>
        <w:pStyle w:val="66"/>
        <w:numPr>
          <w:ilvl w:val="0"/>
          <w:numId w:val="0"/>
        </w:numPr>
        <w:ind w:left="0" w:leftChars="0" w:firstLine="0" w:firstLineChars="0"/>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6.2.</w:t>
      </w:r>
      <w:r>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 xml:space="preserve">  </w:t>
      </w:r>
      <w:r>
        <w:rPr>
          <w:rFonts w:hint="eastAsia"/>
          <w:color w:val="auto"/>
          <w:highlight w:val="none"/>
        </w:rPr>
        <w:t>柚皮苷、新橙皮苷</w:t>
      </w:r>
    </w:p>
    <w:p w14:paraId="753804C0">
      <w:pPr>
        <w:pStyle w:val="23"/>
        <w:ind w:left="0" w:leftChars="0" w:firstLine="420" w:firstLineChars="200"/>
        <w:rPr>
          <w:color w:val="auto"/>
          <w:highlight w:val="none"/>
        </w:rPr>
      </w:pPr>
      <w:r>
        <w:rPr>
          <w:rFonts w:hint="eastAsia"/>
          <w:color w:val="auto"/>
          <w:highlight w:val="none"/>
        </w:rPr>
        <w:t>按《中</w:t>
      </w:r>
      <w:r>
        <w:rPr>
          <w:rFonts w:hint="eastAsia"/>
          <w:color w:val="auto"/>
          <w:highlight w:val="none"/>
          <w:lang w:eastAsia="zh-CN"/>
        </w:rPr>
        <w:t>华</w:t>
      </w:r>
      <w:r>
        <w:rPr>
          <w:rFonts w:hint="eastAsia"/>
          <w:color w:val="auto"/>
          <w:highlight w:val="none"/>
        </w:rPr>
        <w:t>人民共和国药典》20</w:t>
      </w:r>
      <w:r>
        <w:rPr>
          <w:color w:val="auto"/>
          <w:highlight w:val="none"/>
        </w:rPr>
        <w:t>20</w:t>
      </w:r>
      <w:r>
        <w:rPr>
          <w:rFonts w:hint="eastAsia"/>
          <w:color w:val="auto"/>
          <w:highlight w:val="none"/>
        </w:rPr>
        <w:t>年版一部枳壳【含量测定】项下</w:t>
      </w:r>
      <w:r>
        <w:rPr>
          <w:rFonts w:hint="eastAsia"/>
          <w:color w:val="auto"/>
          <w:highlight w:val="none"/>
          <w:lang w:eastAsia="zh-CN"/>
        </w:rPr>
        <w:t>的</w:t>
      </w:r>
      <w:r>
        <w:rPr>
          <w:rFonts w:hint="eastAsia"/>
          <w:color w:val="auto"/>
          <w:highlight w:val="none"/>
        </w:rPr>
        <w:t>规定</w:t>
      </w:r>
      <w:r>
        <w:rPr>
          <w:rFonts w:hint="eastAsia"/>
          <w:color w:val="auto"/>
          <w:highlight w:val="none"/>
          <w:lang w:eastAsia="zh-CN"/>
        </w:rPr>
        <w:t>进行测定</w:t>
      </w:r>
      <w:r>
        <w:rPr>
          <w:rFonts w:hint="eastAsia"/>
          <w:color w:val="auto"/>
          <w:highlight w:val="none"/>
        </w:rPr>
        <w:t>。</w:t>
      </w:r>
    </w:p>
    <w:p w14:paraId="509BAF63">
      <w:pPr>
        <w:pStyle w:val="66"/>
        <w:numPr>
          <w:ilvl w:val="0"/>
          <w:numId w:val="0"/>
        </w:numPr>
        <w:ind w:left="0" w:leftChars="0" w:firstLine="0" w:firstLineChars="0"/>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pPr>
    </w:p>
    <w:p w14:paraId="7D150B09">
      <w:pPr>
        <w:pStyle w:val="66"/>
        <w:numPr>
          <w:ilvl w:val="0"/>
          <w:numId w:val="0"/>
        </w:numPr>
        <w:ind w:left="0" w:leftChars="0" w:firstLine="0" w:firstLineChars="0"/>
        <w:rPr>
          <w:rFonts w:hint="eastAsia" w:eastAsia="黑体"/>
          <w:color w:val="auto"/>
          <w:highlight w:val="none"/>
          <w:lang w:eastAsia="zh-CN"/>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6.3　</w:t>
      </w:r>
      <w:r>
        <w:rPr>
          <w:rFonts w:hint="eastAsia"/>
          <w:color w:val="auto"/>
          <w:highlight w:val="none"/>
        </w:rPr>
        <w:t>重金属及</w:t>
      </w:r>
      <w:r>
        <w:rPr>
          <w:rFonts w:hint="eastAsia"/>
          <w:color w:val="auto"/>
          <w:highlight w:val="none"/>
          <w:lang w:eastAsia="zh-CN"/>
        </w:rPr>
        <w:t>有害元素</w:t>
      </w:r>
    </w:p>
    <w:p w14:paraId="541E1DD7">
      <w:pPr>
        <w:pStyle w:val="72"/>
        <w:numPr>
          <w:ilvl w:val="0"/>
          <w:numId w:val="0"/>
        </w:numPr>
        <w:ind w:left="0" w:leftChars="0" w:firstLine="420" w:firstLineChars="200"/>
        <w:rPr>
          <w:rFonts w:hint="eastAsia" w:ascii="宋体" w:hAnsi="Times New Roman" w:eastAsia="宋体" w:cs="Times New Roman"/>
          <w:color w:val="auto"/>
          <w:sz w:val="21"/>
          <w:highlight w:val="none"/>
          <w:lang w:val="en-US" w:eastAsia="zh-CN" w:bidi="ar-SA"/>
        </w:rPr>
      </w:pPr>
      <w:bookmarkStart w:id="58" w:name="_Toc66283692"/>
      <w:r>
        <w:rPr>
          <w:rFonts w:hint="eastAsia" w:ascii="宋体" w:hAnsi="Times New Roman" w:eastAsia="宋体" w:cs="Times New Roman"/>
          <w:color w:val="auto"/>
          <w:sz w:val="21"/>
          <w:highlight w:val="none"/>
          <w:lang w:val="en-US" w:eastAsia="zh-CN" w:bidi="ar-SA"/>
        </w:rPr>
        <w:t>按《中</w:t>
      </w:r>
      <w:r>
        <w:rPr>
          <w:rFonts w:hint="eastAsia" w:ascii="宋体" w:eastAsia="宋体" w:cs="Times New Roman"/>
          <w:color w:val="auto"/>
          <w:sz w:val="21"/>
          <w:highlight w:val="none"/>
          <w:lang w:val="en-US" w:eastAsia="zh-CN" w:bidi="ar-SA"/>
        </w:rPr>
        <w:t>华</w:t>
      </w:r>
      <w:r>
        <w:rPr>
          <w:rFonts w:hint="eastAsia" w:ascii="宋体" w:hAnsi="Times New Roman" w:eastAsia="宋体" w:cs="Times New Roman"/>
          <w:color w:val="auto"/>
          <w:sz w:val="21"/>
          <w:highlight w:val="none"/>
          <w:lang w:val="en-US" w:eastAsia="zh-CN" w:bidi="ar-SA"/>
        </w:rPr>
        <w:t>人民共和国药典》2020年版四部通则2321的规定进行测定。</w:t>
      </w:r>
    </w:p>
    <w:p w14:paraId="0F571498">
      <w:pPr>
        <w:pStyle w:val="66"/>
        <w:numPr>
          <w:ilvl w:val="0"/>
          <w:numId w:val="0"/>
        </w:numPr>
        <w:ind w:left="0" w:leftChars="0" w:firstLine="0" w:firstLineChars="0"/>
        <w:rPr>
          <w:rFonts w:hint="eastAsia" w:eastAsia="黑体"/>
          <w:color w:val="auto"/>
          <w:highlight w:val="none"/>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6.</w:t>
      </w:r>
      <w:r>
        <w:rPr>
          <w:rFonts w:hint="eastAsia" w:hAnsi="Times New Roman"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　</w:t>
      </w:r>
      <w:r>
        <w:rPr>
          <w:rFonts w:hint="eastAsia"/>
          <w:color w:val="auto"/>
          <w:highlight w:val="none"/>
          <w:lang w:eastAsia="zh-CN"/>
        </w:rPr>
        <w:t>农药残留</w:t>
      </w:r>
    </w:p>
    <w:p w14:paraId="04ADCCBB">
      <w:pPr>
        <w:pStyle w:val="72"/>
        <w:numPr>
          <w:ilvl w:val="0"/>
          <w:numId w:val="0"/>
        </w:numPr>
        <w:ind w:left="0" w:leftChars="0" w:firstLine="420" w:firstLineChars="200"/>
        <w:rPr>
          <w:rFonts w:hint="default"/>
          <w:color w:val="auto"/>
          <w:highlight w:val="none"/>
          <w:lang w:val="en-US" w:eastAsia="zh-CN"/>
        </w:rPr>
      </w:pPr>
      <w:r>
        <w:rPr>
          <w:rFonts w:hint="eastAsia" w:ascii="宋体" w:hAnsi="Times New Roman" w:eastAsia="宋体" w:cs="Times New Roman"/>
          <w:color w:val="auto"/>
          <w:sz w:val="21"/>
          <w:highlight w:val="none"/>
          <w:lang w:val="en-US" w:eastAsia="zh-CN" w:bidi="ar-SA"/>
        </w:rPr>
        <w:t>按《中</w:t>
      </w:r>
      <w:r>
        <w:rPr>
          <w:rFonts w:hint="eastAsia" w:ascii="宋体" w:eastAsia="宋体" w:cs="Times New Roman"/>
          <w:color w:val="auto"/>
          <w:sz w:val="21"/>
          <w:highlight w:val="none"/>
          <w:lang w:val="en-US" w:eastAsia="zh-CN" w:bidi="ar-SA"/>
        </w:rPr>
        <w:t>华</w:t>
      </w:r>
      <w:r>
        <w:rPr>
          <w:rFonts w:hint="eastAsia" w:ascii="宋体" w:hAnsi="Times New Roman" w:eastAsia="宋体" w:cs="Times New Roman"/>
          <w:color w:val="auto"/>
          <w:sz w:val="21"/>
          <w:highlight w:val="none"/>
          <w:lang w:val="en-US" w:eastAsia="zh-CN" w:bidi="ar-SA"/>
        </w:rPr>
        <w:t>人民共和国药典》2020年版四部通则2341的规定进行测定。</w:t>
      </w:r>
    </w:p>
    <w:p w14:paraId="22555352">
      <w:pPr>
        <w:pStyle w:val="72"/>
        <w:numPr>
          <w:ilvl w:val="0"/>
          <w:numId w:val="0"/>
        </w:numPr>
        <w:ind w:left="0" w:leftChars="0" w:firstLine="0" w:firstLineChars="0"/>
        <w:rPr>
          <w:color w:val="auto"/>
          <w:highlight w:val="none"/>
        </w:rPr>
      </w:pPr>
      <w:r>
        <w:rPr>
          <w:rFonts w:hint="eastAsia" w:ascii="黑体" w:hAnsi="Times New Roman" w:eastAsia="黑体"/>
          <w:b w:val="0"/>
          <w:i w:val="0"/>
          <w:color w:val="auto"/>
          <w:sz w:val="21"/>
          <w:szCs w:val="21"/>
          <w:highlight w:val="none"/>
          <w:lang w:val="en-US" w:eastAsia="zh-CN" w:bidi="ar-SA"/>
        </w:rPr>
        <w:t>7　</w:t>
      </w:r>
      <w:r>
        <w:rPr>
          <w:rFonts w:hint="eastAsia"/>
          <w:color w:val="auto"/>
          <w:highlight w:val="none"/>
        </w:rPr>
        <w:t>检测规则</w:t>
      </w:r>
      <w:bookmarkEnd w:id="58"/>
    </w:p>
    <w:p w14:paraId="664080E7">
      <w:pPr>
        <w:pStyle w:val="66"/>
        <w:numPr>
          <w:ilvl w:val="0"/>
          <w:numId w:val="0"/>
        </w:numPr>
        <w:ind w:left="0" w:leftChars="0" w:firstLine="0" w:firstLineChars="0"/>
        <w:rPr>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7.1　</w:t>
      </w:r>
      <w:r>
        <w:rPr>
          <w:rFonts w:hint="eastAsia"/>
          <w:color w:val="auto"/>
          <w:highlight w:val="none"/>
        </w:rPr>
        <w:t>组批</w:t>
      </w:r>
    </w:p>
    <w:p w14:paraId="5903EF97">
      <w:pPr>
        <w:pStyle w:val="23"/>
        <w:rPr>
          <w:rFonts w:hint="eastAsia"/>
          <w:color w:val="auto"/>
          <w:highlight w:val="none"/>
        </w:rPr>
      </w:pPr>
      <w:r>
        <w:rPr>
          <w:rFonts w:hint="eastAsia"/>
          <w:color w:val="auto"/>
          <w:highlight w:val="none"/>
        </w:rPr>
        <w:t>同一产地、同时采收、同批加工的清江枳壳作为一个检验批次。</w:t>
      </w:r>
    </w:p>
    <w:p w14:paraId="477AB475">
      <w:pPr>
        <w:pStyle w:val="66"/>
        <w:numPr>
          <w:ilvl w:val="0"/>
          <w:numId w:val="0"/>
        </w:numPr>
        <w:ind w:left="0" w:leftChars="0" w:firstLine="0" w:firstLineChars="0"/>
        <w:rPr>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7.2　</w:t>
      </w:r>
      <w:r>
        <w:rPr>
          <w:rFonts w:hint="eastAsia"/>
          <w:color w:val="auto"/>
          <w:highlight w:val="none"/>
        </w:rPr>
        <w:t>抽样</w:t>
      </w:r>
    </w:p>
    <w:p w14:paraId="6F038DE4">
      <w:pPr>
        <w:pStyle w:val="23"/>
        <w:rPr>
          <w:rFonts w:hint="eastAsia"/>
          <w:color w:val="auto"/>
          <w:highlight w:val="none"/>
        </w:rPr>
      </w:pPr>
      <w:r>
        <w:rPr>
          <w:rFonts w:hint="eastAsia"/>
          <w:color w:val="auto"/>
          <w:highlight w:val="none"/>
        </w:rPr>
        <w:t>按《中华人民共和国药典》2</w:t>
      </w:r>
      <w:r>
        <w:rPr>
          <w:color w:val="auto"/>
          <w:highlight w:val="none"/>
        </w:rPr>
        <w:t>020</w:t>
      </w:r>
      <w:r>
        <w:rPr>
          <w:rFonts w:hint="eastAsia"/>
          <w:color w:val="auto"/>
          <w:highlight w:val="none"/>
          <w:lang w:eastAsia="zh-CN"/>
        </w:rPr>
        <w:t>年</w:t>
      </w:r>
      <w:r>
        <w:rPr>
          <w:rFonts w:hint="eastAsia"/>
          <w:color w:val="auto"/>
          <w:highlight w:val="none"/>
        </w:rPr>
        <w:t>版四部</w:t>
      </w:r>
      <w:r>
        <w:rPr>
          <w:rFonts w:hint="eastAsia"/>
          <w:color w:val="auto"/>
          <w:highlight w:val="none"/>
          <w:lang w:eastAsia="zh-CN"/>
        </w:rPr>
        <w:t>通则</w:t>
      </w:r>
      <w:r>
        <w:rPr>
          <w:rFonts w:hint="eastAsia"/>
          <w:color w:val="auto"/>
          <w:highlight w:val="none"/>
        </w:rPr>
        <w:t>0</w:t>
      </w:r>
      <w:r>
        <w:rPr>
          <w:color w:val="auto"/>
          <w:highlight w:val="none"/>
        </w:rPr>
        <w:t>211</w:t>
      </w:r>
      <w:r>
        <w:rPr>
          <w:rFonts w:hint="eastAsia"/>
          <w:color w:val="auto"/>
          <w:highlight w:val="none"/>
        </w:rPr>
        <w:t>有关规定取样。</w:t>
      </w:r>
    </w:p>
    <w:p w14:paraId="7677BBFA">
      <w:pPr>
        <w:pStyle w:val="66"/>
        <w:numPr>
          <w:ilvl w:val="0"/>
          <w:numId w:val="0"/>
        </w:numPr>
        <w:ind w:left="0" w:leftChars="0" w:firstLine="0" w:firstLineChars="0"/>
        <w:rPr>
          <w:rFonts w:hint="eastAsia"/>
          <w:color w:val="auto"/>
          <w:highlight w:val="none"/>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7.3　</w:t>
      </w:r>
      <w:r>
        <w:rPr>
          <w:rFonts w:hint="eastAsia"/>
          <w:color w:val="auto"/>
          <w:highlight w:val="none"/>
        </w:rPr>
        <w:t>判定规则</w:t>
      </w:r>
    </w:p>
    <w:p w14:paraId="3B8DB194">
      <w:pPr>
        <w:pStyle w:val="23"/>
        <w:rPr>
          <w:rFonts w:hint="eastAsia"/>
          <w:color w:val="auto"/>
          <w:highlight w:val="none"/>
        </w:rPr>
      </w:pPr>
      <w:r>
        <w:rPr>
          <w:rFonts w:hint="eastAsia"/>
          <w:color w:val="auto"/>
          <w:highlight w:val="none"/>
        </w:rPr>
        <w:t>检验结果全部符合标准，则</w:t>
      </w:r>
      <w:r>
        <w:rPr>
          <w:rFonts w:hint="eastAsia"/>
          <w:color w:val="auto"/>
          <w:highlight w:val="none"/>
          <w:lang w:eastAsia="zh-CN"/>
        </w:rPr>
        <w:t>判定</w:t>
      </w:r>
      <w:r>
        <w:rPr>
          <w:rFonts w:hint="eastAsia"/>
          <w:color w:val="auto"/>
          <w:highlight w:val="none"/>
        </w:rPr>
        <w:t>该批</w:t>
      </w:r>
      <w:r>
        <w:rPr>
          <w:rFonts w:hint="eastAsia"/>
          <w:color w:val="auto"/>
          <w:highlight w:val="none"/>
          <w:lang w:eastAsia="zh-CN"/>
        </w:rPr>
        <w:t>产品</w:t>
      </w:r>
      <w:r>
        <w:rPr>
          <w:rFonts w:hint="eastAsia"/>
          <w:color w:val="auto"/>
          <w:highlight w:val="none"/>
        </w:rPr>
        <w:t>为合格。否则，在同一批次中加倍抽取样品复检一次，若复检结果仍有指标不符合标准规定的，则判定该批产品为不合格。</w:t>
      </w:r>
    </w:p>
    <w:p w14:paraId="2297CEFD">
      <w:pPr>
        <w:pStyle w:val="72"/>
        <w:numPr>
          <w:ilvl w:val="0"/>
          <w:numId w:val="0"/>
        </w:numPr>
        <w:ind w:left="0" w:leftChars="0" w:firstLine="0" w:firstLineChars="0"/>
        <w:rPr>
          <w:rFonts w:hint="eastAsia" w:eastAsia="黑体"/>
          <w:color w:val="auto"/>
          <w:lang w:eastAsia="zh-CN"/>
        </w:rPr>
      </w:pPr>
      <w:bookmarkStart w:id="59" w:name="_Toc66283693"/>
      <w:r>
        <w:rPr>
          <w:rFonts w:hint="eastAsia" w:ascii="黑体" w:hAnsi="Times New Roman" w:eastAsia="黑体"/>
          <w:b w:val="0"/>
          <w:i w:val="0"/>
          <w:color w:val="auto"/>
          <w:sz w:val="21"/>
          <w:szCs w:val="21"/>
          <w:lang w:val="en-US" w:eastAsia="zh-CN" w:bidi="ar-SA"/>
        </w:rPr>
        <w:t>8　</w:t>
      </w:r>
      <w:r>
        <w:rPr>
          <w:rFonts w:hint="eastAsia"/>
          <w:color w:val="auto"/>
        </w:rPr>
        <w:t>标识、包装、贮藏</w:t>
      </w:r>
      <w:r>
        <w:rPr>
          <w:rFonts w:hint="eastAsia"/>
          <w:color w:val="auto"/>
          <w:lang w:eastAsia="zh-CN"/>
        </w:rPr>
        <w:t>、</w:t>
      </w:r>
      <w:r>
        <w:rPr>
          <w:rFonts w:hint="eastAsia"/>
          <w:color w:val="auto"/>
        </w:rPr>
        <w:t>运输</w:t>
      </w:r>
      <w:bookmarkEnd w:id="59"/>
      <w:r>
        <w:rPr>
          <w:rFonts w:hint="eastAsia"/>
          <w:color w:val="auto"/>
          <w:lang w:eastAsia="zh-CN"/>
        </w:rPr>
        <w:t>和追溯管理</w:t>
      </w:r>
    </w:p>
    <w:p w14:paraId="7C4123AA">
      <w:pPr>
        <w:pStyle w:val="66"/>
        <w:numPr>
          <w:ilvl w:val="0"/>
          <w:numId w:val="0"/>
        </w:numPr>
        <w:ind w:left="0" w:leftChars="0" w:firstLine="0" w:firstLineChars="0"/>
        <w:rPr>
          <w:color w:val="auto"/>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8.1　</w:t>
      </w:r>
      <w:r>
        <w:rPr>
          <w:rFonts w:hint="eastAsia"/>
          <w:color w:val="auto"/>
        </w:rPr>
        <w:t>标识</w:t>
      </w:r>
    </w:p>
    <w:p w14:paraId="480397BC">
      <w:pPr>
        <w:pStyle w:val="65"/>
        <w:numPr>
          <w:ilvl w:val="0"/>
          <w:numId w:val="0"/>
        </w:numPr>
        <w:spacing w:before="156" w:after="156"/>
        <w:ind w:left="0" w:leftChars="0" w:firstLine="0" w:firstLineChars="0"/>
        <w:rPr>
          <w:color w:val="auto"/>
        </w:rPr>
      </w:pPr>
      <w:r>
        <w:rPr>
          <w:rFonts w:hint="eastAsia" w:ascii="黑体" w:hAnsi="Times New Roman" w:eastAsia="黑体"/>
          <w:b w:val="0"/>
          <w:i w:val="0"/>
          <w:color w:val="auto"/>
          <w:sz w:val="21"/>
          <w:szCs w:val="21"/>
          <w:lang w:val="en-US" w:eastAsia="zh-CN" w:bidi="ar-SA"/>
        </w:rPr>
        <w:t>8.1.1　</w:t>
      </w:r>
      <w:r>
        <w:rPr>
          <w:rFonts w:hint="eastAsia"/>
          <w:color w:val="auto"/>
        </w:rPr>
        <w:t>标志</w:t>
      </w:r>
    </w:p>
    <w:p w14:paraId="5D4DD1CE">
      <w:pPr>
        <w:pStyle w:val="23"/>
        <w:rPr>
          <w:rFonts w:hint="default" w:eastAsia="宋体"/>
          <w:color w:val="auto"/>
          <w:lang w:val="en-US" w:eastAsia="zh-CN"/>
        </w:rPr>
      </w:pPr>
      <w:r>
        <w:rPr>
          <w:rFonts w:hint="eastAsia"/>
          <w:color w:val="auto"/>
          <w:lang w:eastAsia="zh-CN"/>
        </w:rPr>
        <w:t>获准使用地理标志产品专用标志的生产者，可在其产品包装上使用符合</w:t>
      </w:r>
      <w:r>
        <w:rPr>
          <w:rFonts w:hint="eastAsia"/>
          <w:color w:val="auto"/>
          <w:lang w:val="en-US" w:eastAsia="zh-CN"/>
        </w:rPr>
        <w:t>GB/T 17924规定的防伪专用标志。包装储运图示标志按GB/T 191规定执行。</w:t>
      </w:r>
    </w:p>
    <w:p w14:paraId="3D2580C1">
      <w:pPr>
        <w:pStyle w:val="65"/>
        <w:numPr>
          <w:ilvl w:val="2"/>
          <w:numId w:val="0"/>
        </w:numPr>
        <w:spacing w:before="156" w:after="156"/>
        <w:ind w:left="0" w:leftChars="0" w:firstLine="0" w:firstLineChars="0"/>
        <w:rPr>
          <w:rFonts w:hint="eastAsia" w:hAnsi="Times New Roman" w:cs="Times New Roman"/>
          <w:color w:val="auto"/>
          <w:lang w:val="en-US" w:eastAsia="zh-CN"/>
        </w:rPr>
      </w:pPr>
      <w:r>
        <w:rPr>
          <w:rFonts w:hint="eastAsia" w:ascii="黑体" w:hAnsi="Times New Roman" w:eastAsia="黑体"/>
          <w:b w:val="0"/>
          <w:i w:val="0"/>
          <w:color w:val="auto"/>
          <w:sz w:val="21"/>
          <w:szCs w:val="21"/>
          <w:lang w:val="en-US" w:eastAsia="zh-CN" w:bidi="ar-SA"/>
        </w:rPr>
        <w:t xml:space="preserve">8.1.2  </w:t>
      </w:r>
      <w:r>
        <w:rPr>
          <w:rFonts w:hint="eastAsia" w:hAnsi="Times New Roman" w:cs="Times New Roman"/>
          <w:color w:val="auto"/>
          <w:lang w:val="en-US" w:eastAsia="zh-CN"/>
        </w:rPr>
        <w:t>地理标志专用标志</w:t>
      </w:r>
    </w:p>
    <w:p w14:paraId="1A136651">
      <w:pPr>
        <w:pStyle w:val="65"/>
        <w:numPr>
          <w:ilvl w:val="2"/>
          <w:numId w:val="0"/>
        </w:numPr>
        <w:spacing w:before="156" w:after="156"/>
        <w:ind w:left="0" w:leftChars="0" w:firstLine="420" w:firstLineChars="200"/>
        <w:rPr>
          <w:rFonts w:hint="default" w:ascii="宋体" w:hAnsi="Times New Roman" w:eastAsia="宋体" w:cs="Times New Roman"/>
          <w:color w:val="auto"/>
          <w:kern w:val="0"/>
          <w:sz w:val="21"/>
          <w:szCs w:val="20"/>
          <w:lang w:val="en-US" w:bidi="ar-SA"/>
        </w:rPr>
      </w:pPr>
      <w:r>
        <w:rPr>
          <w:rFonts w:hint="default" w:ascii="宋体" w:hAnsi="Times New Roman" w:eastAsia="宋体" w:cs="Times New Roman"/>
          <w:color w:val="auto"/>
          <w:kern w:val="0"/>
          <w:sz w:val="21"/>
          <w:szCs w:val="20"/>
          <w:lang w:val="en-US" w:bidi="ar-SA"/>
        </w:rPr>
        <w:t>地理标志产品</w:t>
      </w:r>
      <w:r>
        <w:rPr>
          <w:rFonts w:hint="eastAsia" w:ascii="宋体" w:eastAsia="宋体" w:cs="Times New Roman"/>
          <w:color w:val="auto"/>
          <w:kern w:val="0"/>
          <w:sz w:val="21"/>
          <w:szCs w:val="20"/>
          <w:lang w:val="en-US" w:eastAsia="zh-CN" w:bidi="ar-SA"/>
        </w:rPr>
        <w:t>清江枳壳</w:t>
      </w:r>
      <w:r>
        <w:rPr>
          <w:rFonts w:hint="default" w:ascii="宋体" w:hAnsi="Times New Roman" w:eastAsia="宋体" w:cs="Times New Roman"/>
          <w:color w:val="auto"/>
          <w:kern w:val="0"/>
          <w:sz w:val="21"/>
          <w:szCs w:val="20"/>
          <w:lang w:val="en-US" w:bidi="ar-SA"/>
        </w:rPr>
        <w:t>产地范围内生产者按照本文件生产并符合本文件要求的产品，如需使用“地理标志产品专用标志”，需向樟树市知识产权行政主管部门提出申请，经省级知识产权行政主管部门初审合格，上报国家知识产权局核准后，方可使用</w:t>
      </w:r>
      <w:r>
        <w:rPr>
          <w:rFonts w:hint="eastAsia" w:ascii="宋体" w:eastAsia="宋体" w:cs="Times New Roman"/>
          <w:color w:val="auto"/>
          <w:kern w:val="0"/>
          <w:sz w:val="21"/>
          <w:szCs w:val="20"/>
          <w:lang w:val="en-US" w:eastAsia="zh-CN" w:bidi="ar-SA"/>
        </w:rPr>
        <w:t>清江枳壳</w:t>
      </w:r>
      <w:r>
        <w:rPr>
          <w:rFonts w:hint="default" w:ascii="宋体" w:hAnsi="Times New Roman" w:eastAsia="宋体" w:cs="Times New Roman"/>
          <w:color w:val="auto"/>
          <w:kern w:val="0"/>
          <w:sz w:val="21"/>
          <w:szCs w:val="20"/>
          <w:lang w:val="en-US" w:bidi="ar-SA"/>
        </w:rPr>
        <w:t>“地理标志产品专用标志”，地理标志专用标志的使用应符合地理标志专用标志相关管理要求。</w:t>
      </w:r>
    </w:p>
    <w:p w14:paraId="7C5A6F45">
      <w:pPr>
        <w:pStyle w:val="65"/>
        <w:numPr>
          <w:ilvl w:val="0"/>
          <w:numId w:val="0"/>
        </w:numPr>
        <w:spacing w:before="156" w:after="156"/>
        <w:ind w:left="0" w:leftChars="0" w:firstLine="0" w:firstLineChars="0"/>
        <w:rPr>
          <w:rFonts w:hint="eastAsia"/>
          <w:color w:val="auto"/>
        </w:rPr>
      </w:pPr>
      <w:r>
        <w:rPr>
          <w:rFonts w:hint="eastAsia" w:ascii="黑体" w:hAnsi="Times New Roman" w:eastAsia="黑体"/>
          <w:b w:val="0"/>
          <w:i w:val="0"/>
          <w:color w:val="auto"/>
          <w:sz w:val="21"/>
          <w:szCs w:val="21"/>
          <w:lang w:val="en-US" w:eastAsia="zh-CN" w:bidi="ar-SA"/>
        </w:rPr>
        <w:t>8.1.</w:t>
      </w:r>
      <w:r>
        <w:rPr>
          <w:rFonts w:hint="eastAsia" w:hAnsi="Times New Roman"/>
          <w:b w:val="0"/>
          <w:i w:val="0"/>
          <w:color w:val="auto"/>
          <w:sz w:val="21"/>
          <w:szCs w:val="21"/>
          <w:lang w:val="en-US" w:eastAsia="zh-CN" w:bidi="ar-SA"/>
        </w:rPr>
        <w:t>3</w:t>
      </w:r>
      <w:r>
        <w:rPr>
          <w:rFonts w:hint="eastAsia" w:ascii="黑体" w:hAnsi="Times New Roman" w:eastAsia="黑体"/>
          <w:b w:val="0"/>
          <w:i w:val="0"/>
          <w:color w:val="auto"/>
          <w:sz w:val="21"/>
          <w:szCs w:val="21"/>
          <w:lang w:val="en-US" w:eastAsia="zh-CN" w:bidi="ar-SA"/>
        </w:rPr>
        <w:t>　</w:t>
      </w:r>
      <w:r>
        <w:rPr>
          <w:rFonts w:hint="eastAsia"/>
          <w:color w:val="auto"/>
        </w:rPr>
        <w:t>标签</w:t>
      </w:r>
    </w:p>
    <w:p w14:paraId="2E94379A">
      <w:pPr>
        <w:widowControl/>
        <w:tabs>
          <w:tab w:val="center" w:pos="4201"/>
          <w:tab w:val="right" w:leader="dot" w:pos="9298"/>
        </w:tabs>
        <w:autoSpaceDE w:val="0"/>
        <w:autoSpaceDN w:val="0"/>
        <w:ind w:firstLine="420" w:firstLineChars="200"/>
        <w:rPr>
          <w:rFonts w:hint="eastAsia" w:ascii="宋体"/>
          <w:color w:val="auto"/>
          <w:kern w:val="0"/>
          <w:szCs w:val="20"/>
        </w:rPr>
      </w:pPr>
      <w:r>
        <w:rPr>
          <w:rFonts w:hint="eastAsia" w:ascii="宋体"/>
          <w:color w:val="auto"/>
          <w:kern w:val="0"/>
          <w:szCs w:val="20"/>
        </w:rPr>
        <w:t>产品应附标签，标明产品名称、生产单位名称、详细地址、生产日期、批号、保质期或保存期、净含量、产品标准号和商标等内容，标签要醒目、整齐，字迹应清晰、完整、准确。</w:t>
      </w:r>
    </w:p>
    <w:p w14:paraId="7AE1BCB7">
      <w:pPr>
        <w:pStyle w:val="66"/>
        <w:numPr>
          <w:ilvl w:val="0"/>
          <w:numId w:val="0"/>
        </w:numPr>
        <w:ind w:left="0" w:leftChars="0" w:firstLine="0" w:firstLineChars="0"/>
        <w:rPr>
          <w:color w:val="auto"/>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8.2　</w:t>
      </w:r>
      <w:r>
        <w:rPr>
          <w:rFonts w:hint="eastAsia"/>
          <w:color w:val="auto"/>
        </w:rPr>
        <w:t>包装</w:t>
      </w:r>
    </w:p>
    <w:p w14:paraId="571FAD0E">
      <w:pPr>
        <w:widowControl/>
        <w:tabs>
          <w:tab w:val="center" w:pos="4201"/>
          <w:tab w:val="right" w:leader="dot" w:pos="9298"/>
        </w:tabs>
        <w:autoSpaceDE w:val="0"/>
        <w:autoSpaceDN w:val="0"/>
        <w:ind w:firstLine="420" w:firstLineChars="200"/>
        <w:rPr>
          <w:rFonts w:hint="eastAsia" w:ascii="宋体"/>
          <w:color w:val="auto"/>
          <w:kern w:val="0"/>
          <w:szCs w:val="20"/>
        </w:rPr>
      </w:pPr>
      <w:r>
        <w:rPr>
          <w:rFonts w:hint="eastAsia" w:ascii="宋体"/>
          <w:color w:val="auto"/>
          <w:kern w:val="0"/>
          <w:szCs w:val="20"/>
        </w:rPr>
        <w:t>包装应符合SB/T 11182要求。</w:t>
      </w:r>
    </w:p>
    <w:p w14:paraId="3B76EAA5">
      <w:pPr>
        <w:pStyle w:val="66"/>
        <w:numPr>
          <w:ilvl w:val="0"/>
          <w:numId w:val="0"/>
        </w:numPr>
        <w:ind w:left="0" w:leftChars="0" w:firstLine="0" w:firstLineChars="0"/>
        <w:rPr>
          <w:color w:val="auto"/>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8.3　</w:t>
      </w:r>
      <w:r>
        <w:rPr>
          <w:rFonts w:hint="eastAsia"/>
          <w:color w:val="auto"/>
        </w:rPr>
        <w:t>贮藏</w:t>
      </w:r>
    </w:p>
    <w:p w14:paraId="6CF3B423">
      <w:pPr>
        <w:pStyle w:val="23"/>
        <w:rPr>
          <w:rFonts w:hint="eastAsia"/>
          <w:color w:val="auto"/>
        </w:rPr>
      </w:pPr>
      <w:r>
        <w:rPr>
          <w:rFonts w:hint="eastAsia"/>
          <w:color w:val="auto"/>
        </w:rPr>
        <w:t>包装后的</w:t>
      </w:r>
      <w:r>
        <w:rPr>
          <w:rFonts w:hint="eastAsia"/>
          <w:color w:val="auto"/>
          <w:lang w:eastAsia="zh-CN"/>
        </w:rPr>
        <w:t>产品</w:t>
      </w:r>
      <w:r>
        <w:rPr>
          <w:rFonts w:hint="eastAsia"/>
          <w:color w:val="auto"/>
        </w:rPr>
        <w:t>应置于室内干燥的仓库贮藏，并防潮。也可采用现代气调贮藏方法，包装或库内充氮或二氧化碳。定期检查，防止虫蛀、霉变、腐烂等的发生。不同批次</w:t>
      </w:r>
      <w:r>
        <w:rPr>
          <w:rFonts w:hint="eastAsia"/>
          <w:color w:val="auto"/>
          <w:lang w:eastAsia="zh-CN"/>
        </w:rPr>
        <w:t>产品</w:t>
      </w:r>
      <w:r>
        <w:rPr>
          <w:rFonts w:hint="eastAsia"/>
          <w:color w:val="auto"/>
        </w:rPr>
        <w:t>分区存放。禁止</w:t>
      </w:r>
      <w:r>
        <w:rPr>
          <w:rFonts w:hint="eastAsia"/>
          <w:color w:val="auto"/>
          <w:lang w:eastAsia="zh-CN"/>
        </w:rPr>
        <w:t>使用</w:t>
      </w:r>
      <w:r>
        <w:rPr>
          <w:rFonts w:hint="eastAsia"/>
          <w:color w:val="auto"/>
        </w:rPr>
        <w:t>磷化铝和二氧化硫熏蒸。</w:t>
      </w:r>
    </w:p>
    <w:p w14:paraId="4E14276F">
      <w:pPr>
        <w:pStyle w:val="66"/>
        <w:numPr>
          <w:ilvl w:val="0"/>
          <w:numId w:val="0"/>
        </w:numPr>
        <w:ind w:left="0" w:leftChars="0" w:firstLine="0" w:firstLineChars="0"/>
        <w:rPr>
          <w:color w:val="auto"/>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8.4　</w:t>
      </w:r>
      <w:r>
        <w:rPr>
          <w:rFonts w:hint="eastAsia"/>
          <w:color w:val="auto"/>
        </w:rPr>
        <w:t>运输</w:t>
      </w:r>
    </w:p>
    <w:p w14:paraId="4847EDFD">
      <w:pPr>
        <w:pStyle w:val="23"/>
        <w:rPr>
          <w:rFonts w:hint="eastAsia"/>
          <w:color w:val="auto"/>
        </w:rPr>
      </w:pPr>
      <w:r>
        <w:rPr>
          <w:rFonts w:hint="eastAsia"/>
          <w:color w:val="auto"/>
        </w:rPr>
        <w:t>运输工具或容器应具有较好的通气性，以保持干燥。尽量缩短运输时间。不得与其他有毒、有害物质混装运输。运输期间防止发生混淆、污染、异物混入、包装破损、雨雪淋湿等。</w:t>
      </w:r>
    </w:p>
    <w:p w14:paraId="4D71482B">
      <w:pPr>
        <w:pStyle w:val="66"/>
        <w:numPr>
          <w:ilvl w:val="0"/>
          <w:numId w:val="0"/>
        </w:numPr>
        <w:ind w:left="0" w:leftChars="0" w:firstLine="0" w:firstLineChars="0"/>
        <w:rPr>
          <w:rFonts w:hint="eastAsia"/>
          <w:color w:val="auto"/>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8.</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5</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color w:val="auto"/>
          <w:lang w:eastAsia="zh-CN"/>
        </w:rPr>
        <w:t>追溯管理</w:t>
      </w:r>
    </w:p>
    <w:p w14:paraId="5F822126">
      <w:pPr>
        <w:pStyle w:val="23"/>
        <w:rPr>
          <w:rFonts w:hint="eastAsia"/>
          <w:color w:val="auto"/>
          <w:lang w:eastAsia="zh-CN"/>
        </w:rPr>
      </w:pPr>
      <w:r>
        <w:rPr>
          <w:rFonts w:hint="eastAsia"/>
          <w:color w:val="auto"/>
          <w:lang w:eastAsia="zh-CN"/>
        </w:rPr>
        <w:t>生产经营主体宜建立产品质量追溯系统，记录种植、加工、贮藏、运输等生产全过程的关键信息，相关信息保留3年以上。</w:t>
      </w:r>
    </w:p>
    <w:p w14:paraId="3D0774CE">
      <w:pPr>
        <w:pStyle w:val="136"/>
        <w:numPr>
          <w:ilvl w:val="0"/>
          <w:numId w:val="0"/>
        </w:numPr>
        <w:jc w:val="both"/>
        <w:rPr>
          <w:color w:val="auto"/>
        </w:rPr>
      </w:pPr>
    </w:p>
    <w:p w14:paraId="3C3D3162">
      <w:pPr>
        <w:pStyle w:val="138"/>
        <w:numPr>
          <w:ilvl w:val="0"/>
          <w:numId w:val="0"/>
        </w:numPr>
        <w:jc w:val="both"/>
        <w:rPr>
          <w:color w:val="auto"/>
        </w:rPr>
      </w:pPr>
    </w:p>
    <w:p w14:paraId="5212048E">
      <w:pPr>
        <w:bidi w:val="0"/>
        <w:jc w:val="center"/>
        <w:rPr>
          <w:rFonts w:hint="eastAsia"/>
          <w:b/>
          <w:bCs/>
          <w:color w:val="auto"/>
          <w:lang w:val="en-US" w:eastAsia="zh-CN"/>
        </w:rPr>
      </w:pPr>
      <w:r>
        <w:rPr>
          <w:rFonts w:hint="eastAsia"/>
          <w:b/>
          <w:bCs/>
          <w:color w:val="auto"/>
          <w:lang w:val="en-US" w:eastAsia="zh-CN"/>
        </w:rPr>
        <w:t>附　录　A</w:t>
      </w:r>
      <w:bookmarkStart w:id="60" w:name="_Toc66283694"/>
    </w:p>
    <w:p w14:paraId="34825C6F">
      <w:pPr>
        <w:bidi w:val="0"/>
        <w:jc w:val="center"/>
        <w:rPr>
          <w:rFonts w:hint="eastAsia"/>
          <w:b/>
          <w:bCs/>
          <w:color w:val="auto"/>
          <w:lang w:eastAsia="zh-CN"/>
        </w:rPr>
      </w:pPr>
      <w:r>
        <w:rPr>
          <w:rFonts w:hint="eastAsia"/>
          <w:b/>
          <w:bCs/>
          <w:color w:val="auto"/>
        </w:rPr>
        <w:t>（规范性）</w:t>
      </w:r>
    </w:p>
    <w:p w14:paraId="08CDCEB1">
      <w:pPr>
        <w:bidi w:val="0"/>
        <w:jc w:val="center"/>
        <w:rPr>
          <w:b/>
          <w:bCs/>
          <w:color w:val="auto"/>
        </w:rPr>
      </w:pPr>
      <w:r>
        <w:rPr>
          <w:rFonts w:hint="eastAsia"/>
          <w:b/>
          <w:bCs/>
          <w:color w:val="auto"/>
        </w:rPr>
        <w:t>清江枳壳地理标志产品保护范围</w:t>
      </w:r>
      <w:bookmarkEnd w:id="60"/>
    </w:p>
    <w:p w14:paraId="367DE9D5">
      <w:pPr>
        <w:pStyle w:val="23"/>
        <w:rPr>
          <w:rFonts w:hint="eastAsia"/>
          <w:color w:val="auto"/>
          <w:lang w:eastAsia="zh-CN"/>
        </w:rPr>
      </w:pPr>
    </w:p>
    <w:p w14:paraId="37AD786E">
      <w:pPr>
        <w:pStyle w:val="23"/>
        <w:rPr>
          <w:rFonts w:hint="eastAsia"/>
          <w:color w:val="auto"/>
          <w:lang w:eastAsia="zh-CN"/>
        </w:rPr>
      </w:pPr>
    </w:p>
    <w:p w14:paraId="55EC1F8B">
      <w:pPr>
        <w:pStyle w:val="23"/>
        <w:rPr>
          <w:rFonts w:hint="eastAsia"/>
          <w:color w:val="auto"/>
          <w:lang w:eastAsia="zh-CN"/>
        </w:rPr>
      </w:pPr>
      <w:r>
        <w:rPr>
          <w:rFonts w:hint="eastAsia"/>
          <w:color w:val="auto"/>
          <w:lang w:eastAsia="zh-CN"/>
        </w:rPr>
        <w:t>清江枳壳</w:t>
      </w:r>
      <w:r>
        <w:rPr>
          <w:rFonts w:hint="eastAsia"/>
          <w:color w:val="auto"/>
        </w:rPr>
        <w:t>地理标志产品</w:t>
      </w:r>
      <w:r>
        <w:rPr>
          <w:rFonts w:hint="eastAsia"/>
          <w:color w:val="auto"/>
          <w:lang w:eastAsia="zh-CN"/>
        </w:rPr>
        <w:t>保护</w:t>
      </w:r>
      <w:r>
        <w:rPr>
          <w:rFonts w:hint="eastAsia"/>
          <w:color w:val="auto"/>
        </w:rPr>
        <w:t>范围见</w:t>
      </w:r>
      <w:r>
        <w:rPr>
          <w:rFonts w:hint="eastAsia"/>
          <w:color w:val="auto"/>
          <w:lang w:eastAsia="zh-CN"/>
        </w:rPr>
        <w:t>下图：</w:t>
      </w:r>
    </w:p>
    <w:p w14:paraId="3F007667">
      <w:pPr>
        <w:pStyle w:val="23"/>
        <w:ind w:left="0" w:leftChars="0" w:firstLine="0" w:firstLineChars="0"/>
        <w:jc w:val="both"/>
        <w:rPr>
          <w:color w:val="auto"/>
        </w:rPr>
      </w:pPr>
      <w:r>
        <w:rPr>
          <w:rFonts w:hint="eastAsia" w:eastAsia="宋体"/>
          <w:color w:val="auto"/>
          <w:lang w:eastAsia="zh-CN"/>
        </w:rPr>
        <w:drawing>
          <wp:inline distT="0" distB="0" distL="114300" distR="114300">
            <wp:extent cx="5927725" cy="4110990"/>
            <wp:effectExtent l="0" t="0" r="0" b="0"/>
            <wp:docPr id="7" name="图片 2"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未标题-1"/>
                    <pic:cNvPicPr>
                      <a:picLocks noChangeAspect="1"/>
                    </pic:cNvPicPr>
                  </pic:nvPicPr>
                  <pic:blipFill>
                    <a:blip r:embed="rId8">
                      <a:lum contrast="6000"/>
                    </a:blip>
                    <a:stretch>
                      <a:fillRect/>
                    </a:stretch>
                  </pic:blipFill>
                  <pic:spPr>
                    <a:xfrm>
                      <a:off x="0" y="0"/>
                      <a:ext cx="5927725" cy="4110990"/>
                    </a:xfrm>
                    <a:prstGeom prst="rect">
                      <a:avLst/>
                    </a:prstGeom>
                    <a:noFill/>
                    <a:ln>
                      <a:noFill/>
                    </a:ln>
                  </pic:spPr>
                </pic:pic>
              </a:graphicData>
            </a:graphic>
          </wp:inline>
        </w:drawing>
      </w:r>
    </w:p>
    <w:p w14:paraId="79A1ECF6">
      <w:pPr>
        <w:pStyle w:val="127"/>
        <w:bidi w:val="0"/>
        <w:rPr>
          <w:rFonts w:hint="eastAsia"/>
          <w:color w:val="auto"/>
        </w:rPr>
      </w:pPr>
      <w:r>
        <w:rPr>
          <w:rFonts w:hint="eastAsia"/>
          <w:color w:val="auto"/>
          <w:lang w:eastAsia="zh-CN"/>
        </w:rPr>
        <w:t>清江枳壳</w:t>
      </w:r>
      <w:r>
        <w:rPr>
          <w:rFonts w:hint="eastAsia"/>
          <w:color w:val="auto"/>
        </w:rPr>
        <w:t>地理标志产品</w:t>
      </w:r>
      <w:r>
        <w:rPr>
          <w:rFonts w:hint="eastAsia"/>
          <w:color w:val="auto"/>
          <w:lang w:eastAsia="zh-CN"/>
        </w:rPr>
        <w:t>保护范围</w:t>
      </w:r>
    </w:p>
    <w:p w14:paraId="0267B1DB">
      <w:pPr>
        <w:rPr>
          <w:color w:val="auto"/>
        </w:rPr>
      </w:pPr>
    </w:p>
    <w:p w14:paraId="092E34BA">
      <w:pPr>
        <w:pStyle w:val="136"/>
        <w:numPr>
          <w:ilvl w:val="0"/>
          <w:numId w:val="0"/>
        </w:numPr>
        <w:jc w:val="both"/>
        <w:rPr>
          <w:color w:val="auto"/>
        </w:rPr>
      </w:pPr>
    </w:p>
    <w:p w14:paraId="0DAE112E">
      <w:pPr>
        <w:pStyle w:val="138"/>
        <w:numPr>
          <w:ilvl w:val="0"/>
          <w:numId w:val="0"/>
        </w:numPr>
        <w:jc w:val="both"/>
        <w:rPr>
          <w:color w:val="auto"/>
        </w:rPr>
      </w:pPr>
    </w:p>
    <w:p w14:paraId="4CD84B7A">
      <w:pPr>
        <w:pStyle w:val="91"/>
        <w:bidi w:val="0"/>
        <w:jc w:val="center"/>
        <w:rPr>
          <w:rFonts w:hint="eastAsia"/>
          <w:b/>
          <w:bCs/>
          <w:color w:val="auto"/>
          <w:lang w:val="en-US" w:eastAsia="zh-CN"/>
        </w:rPr>
      </w:pPr>
      <w:r>
        <w:rPr>
          <w:rFonts w:hint="eastAsia"/>
          <w:b/>
          <w:bCs/>
          <w:color w:val="auto"/>
          <w:lang w:val="en-US" w:eastAsia="zh-CN"/>
        </w:rPr>
        <w:t>附　录　B</w:t>
      </w:r>
      <w:bookmarkStart w:id="61" w:name="_Toc66283695"/>
    </w:p>
    <w:p w14:paraId="0E9D48D3">
      <w:pPr>
        <w:pStyle w:val="91"/>
        <w:bidi w:val="0"/>
        <w:jc w:val="center"/>
        <w:rPr>
          <w:rFonts w:hint="eastAsia"/>
          <w:b/>
          <w:bCs/>
          <w:color w:val="auto"/>
          <w:lang w:eastAsia="zh-CN"/>
        </w:rPr>
      </w:pPr>
      <w:r>
        <w:rPr>
          <w:rFonts w:hint="eastAsia"/>
          <w:b/>
          <w:bCs/>
          <w:color w:val="auto"/>
        </w:rPr>
        <w:t>（资料性）</w:t>
      </w:r>
    </w:p>
    <w:p w14:paraId="1EEE9453">
      <w:pPr>
        <w:pStyle w:val="91"/>
        <w:bidi w:val="0"/>
        <w:jc w:val="center"/>
        <w:rPr>
          <w:b/>
          <w:bCs/>
          <w:color w:val="auto"/>
        </w:rPr>
      </w:pPr>
      <w:r>
        <w:rPr>
          <w:rFonts w:hint="eastAsia"/>
          <w:b/>
          <w:bCs/>
          <w:color w:val="auto"/>
        </w:rPr>
        <w:t>清江枳壳栽培技术</w:t>
      </w:r>
      <w:bookmarkEnd w:id="61"/>
    </w:p>
    <w:p w14:paraId="2F1A0B1F">
      <w:pPr>
        <w:pStyle w:val="69"/>
        <w:numPr>
          <w:ilvl w:val="1"/>
          <w:numId w:val="0"/>
        </w:numPr>
        <w:spacing w:before="312" w:after="312"/>
        <w:ind w:left="0" w:leftChars="0" w:firstLine="0" w:firstLineChars="0"/>
        <w:rPr>
          <w:color w:val="auto"/>
        </w:rPr>
      </w:pPr>
      <w:r>
        <w:rPr>
          <w:rFonts w:hint="eastAsia" w:ascii="黑体" w:hAnsi="Times New Roman" w:eastAsia="黑体"/>
          <w:b w:val="0"/>
          <w:i w:val="0"/>
          <w:snapToGrid/>
          <w:color w:val="auto"/>
          <w:spacing w:val="0"/>
          <w:w w:val="100"/>
          <w:kern w:val="21"/>
          <w:sz w:val="21"/>
          <w:lang w:val="en-US" w:eastAsia="zh-CN" w:bidi="ar-SA"/>
        </w:rPr>
        <w:t>B.1　</w:t>
      </w:r>
      <w:r>
        <w:rPr>
          <w:rFonts w:hint="eastAsia"/>
          <w:color w:val="auto"/>
        </w:rPr>
        <w:t>品种选择</w:t>
      </w:r>
    </w:p>
    <w:p w14:paraId="72FEEA50">
      <w:pPr>
        <w:pStyle w:val="23"/>
        <w:rPr>
          <w:rFonts w:hint="eastAsia"/>
          <w:color w:val="auto"/>
        </w:rPr>
      </w:pPr>
      <w:r>
        <w:rPr>
          <w:rFonts w:hint="eastAsia"/>
          <w:color w:val="auto"/>
        </w:rPr>
        <w:t>选择臭橙(</w:t>
      </w:r>
      <w:r>
        <w:rPr>
          <w:rFonts w:ascii="Times New Roman"/>
          <w:i/>
          <w:iCs/>
          <w:color w:val="auto"/>
          <w:highlight w:val="none"/>
        </w:rPr>
        <w:t>Citrus</w:t>
      </w:r>
      <w:r>
        <w:rPr>
          <w:rFonts w:hint="eastAsia" w:ascii="Times New Roman"/>
          <w:i/>
          <w:iCs/>
          <w:color w:val="auto"/>
          <w:highlight w:val="none"/>
          <w:lang w:val="en-US" w:eastAsia="zh-CN"/>
        </w:rPr>
        <w:t xml:space="preserve"> </w:t>
      </w:r>
      <w:r>
        <w:rPr>
          <w:rFonts w:ascii="Times New Roman"/>
          <w:i/>
          <w:iCs/>
          <w:color w:val="auto"/>
          <w:highlight w:val="none"/>
        </w:rPr>
        <w:t>aurantium</w:t>
      </w:r>
      <w:r>
        <w:rPr>
          <w:rFonts w:hint="eastAsia" w:ascii="Times New Roman"/>
          <w:i/>
          <w:iCs/>
          <w:color w:val="auto"/>
          <w:highlight w:val="none"/>
        </w:rPr>
        <w:t>＇</w:t>
      </w:r>
      <w:r>
        <w:rPr>
          <w:rFonts w:hint="eastAsia" w:ascii="Times New Roman"/>
          <w:i w:val="0"/>
          <w:iCs w:val="0"/>
          <w:color w:val="auto"/>
          <w:highlight w:val="none"/>
          <w:lang w:val="en-US" w:eastAsia="zh-CN"/>
        </w:rPr>
        <w:t>Xiucheng</w:t>
      </w:r>
      <w:r>
        <w:rPr>
          <w:rFonts w:hint="eastAsia" w:ascii="Times New Roman"/>
          <w:i/>
          <w:iCs/>
          <w:color w:val="auto"/>
          <w:highlight w:val="none"/>
          <w:lang w:val="en-US" w:eastAsia="zh-CN"/>
        </w:rPr>
        <w:t>＇</w:t>
      </w:r>
      <w:r>
        <w:rPr>
          <w:rFonts w:hint="eastAsia"/>
          <w:color w:val="auto"/>
        </w:rPr>
        <w:t>) 或香橙（</w:t>
      </w:r>
      <w:r>
        <w:rPr>
          <w:rFonts w:ascii="Times New Roman"/>
          <w:i/>
          <w:iCs/>
          <w:color w:val="auto"/>
          <w:highlight w:val="none"/>
        </w:rPr>
        <w:t>Citrus</w:t>
      </w:r>
      <w:r>
        <w:rPr>
          <w:rFonts w:hint="eastAsia" w:ascii="Times New Roman"/>
          <w:i/>
          <w:iCs/>
          <w:color w:val="auto"/>
          <w:highlight w:val="none"/>
          <w:lang w:val="en-US" w:eastAsia="zh-CN"/>
        </w:rPr>
        <w:t xml:space="preserve"> </w:t>
      </w:r>
      <w:r>
        <w:rPr>
          <w:rFonts w:ascii="Times New Roman"/>
          <w:i/>
          <w:iCs/>
          <w:color w:val="auto"/>
          <w:highlight w:val="none"/>
        </w:rPr>
        <w:t>aurantium</w:t>
      </w:r>
      <w:r>
        <w:rPr>
          <w:rFonts w:hint="eastAsia" w:ascii="Times New Roman"/>
          <w:i/>
          <w:iCs/>
          <w:color w:val="auto"/>
          <w:highlight w:val="none"/>
        </w:rPr>
        <w:t>＇</w:t>
      </w:r>
      <w:r>
        <w:rPr>
          <w:rFonts w:hint="eastAsia" w:ascii="Times New Roman"/>
          <w:i w:val="0"/>
          <w:iCs w:val="0"/>
          <w:color w:val="auto"/>
          <w:highlight w:val="none"/>
          <w:lang w:val="en-US" w:eastAsia="zh-CN"/>
        </w:rPr>
        <w:t>Xiangcheng</w:t>
      </w:r>
      <w:r>
        <w:rPr>
          <w:rFonts w:hint="eastAsia" w:ascii="Times New Roman"/>
          <w:i/>
          <w:iCs/>
          <w:color w:val="auto"/>
          <w:highlight w:val="none"/>
          <w:lang w:val="en-US" w:eastAsia="zh-CN"/>
        </w:rPr>
        <w:t>＇</w:t>
      </w:r>
      <w:r>
        <w:rPr>
          <w:rFonts w:hint="eastAsia"/>
          <w:color w:val="auto"/>
        </w:rPr>
        <w:t>），</w:t>
      </w:r>
      <w:r>
        <w:rPr>
          <w:rFonts w:hint="eastAsia"/>
          <w:color w:val="auto"/>
          <w:lang w:eastAsia="zh-CN"/>
        </w:rPr>
        <w:t>已经</w:t>
      </w:r>
      <w:r>
        <w:rPr>
          <w:rFonts w:hint="eastAsia"/>
          <w:color w:val="auto"/>
        </w:rPr>
        <w:t>审定（认定）良种或品种为宜。</w:t>
      </w:r>
    </w:p>
    <w:p w14:paraId="33FEB0C5">
      <w:pPr>
        <w:pStyle w:val="69"/>
        <w:numPr>
          <w:ilvl w:val="1"/>
          <w:numId w:val="0"/>
        </w:numPr>
        <w:spacing w:before="312" w:after="312"/>
        <w:ind w:left="0" w:leftChars="0" w:firstLine="0" w:firstLineChars="0"/>
        <w:rPr>
          <w:color w:val="auto"/>
        </w:rPr>
      </w:pPr>
      <w:r>
        <w:rPr>
          <w:rFonts w:hint="eastAsia" w:ascii="黑体" w:hAnsi="Times New Roman" w:eastAsia="黑体"/>
          <w:b w:val="0"/>
          <w:i w:val="0"/>
          <w:snapToGrid/>
          <w:color w:val="auto"/>
          <w:spacing w:val="0"/>
          <w:w w:val="100"/>
          <w:kern w:val="21"/>
          <w:sz w:val="21"/>
          <w:lang w:val="en-US" w:eastAsia="zh-CN" w:bidi="ar-SA"/>
        </w:rPr>
        <w:t>B.2　</w:t>
      </w:r>
      <w:r>
        <w:rPr>
          <w:rFonts w:hint="eastAsia"/>
          <w:color w:val="auto"/>
        </w:rPr>
        <w:t>种苗繁殖</w:t>
      </w:r>
    </w:p>
    <w:p w14:paraId="0688BB5D">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B.2.1　</w:t>
      </w:r>
      <w:r>
        <w:rPr>
          <w:rFonts w:hint="eastAsia"/>
          <w:color w:val="auto"/>
          <w:lang w:eastAsia="zh-CN"/>
        </w:rPr>
        <w:t>育苗方式</w:t>
      </w:r>
    </w:p>
    <w:p w14:paraId="7C27E7C3">
      <w:pPr>
        <w:pStyle w:val="23"/>
        <w:rPr>
          <w:color w:val="auto"/>
        </w:rPr>
      </w:pPr>
      <w:r>
        <w:rPr>
          <w:rFonts w:hint="eastAsia"/>
          <w:color w:val="auto"/>
          <w:lang w:eastAsia="zh-CN"/>
        </w:rPr>
        <w:t>一般分为常规育苗和容器育苗。</w:t>
      </w:r>
    </w:p>
    <w:p w14:paraId="2BAA7128">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B.2.2　</w:t>
      </w:r>
      <w:r>
        <w:rPr>
          <w:rFonts w:hint="eastAsia"/>
          <w:color w:val="auto"/>
        </w:rPr>
        <w:t>繁殖技术</w:t>
      </w:r>
    </w:p>
    <w:p w14:paraId="3698026A">
      <w:pPr>
        <w:pStyle w:val="23"/>
        <w:rPr>
          <w:color w:val="auto"/>
        </w:rPr>
      </w:pPr>
      <w:r>
        <w:rPr>
          <w:rFonts w:hint="eastAsia"/>
          <w:color w:val="auto"/>
        </w:rPr>
        <w:t>繁殖技术采用嫁接繁殖。</w:t>
      </w:r>
    </w:p>
    <w:p w14:paraId="0CA0C884">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B.2.3　</w:t>
      </w:r>
      <w:r>
        <w:rPr>
          <w:rFonts w:hint="eastAsia"/>
          <w:color w:val="auto"/>
        </w:rPr>
        <w:t>圃地选择和准备</w:t>
      </w:r>
    </w:p>
    <w:p w14:paraId="2B2E5453">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B.2.3.1　</w:t>
      </w:r>
      <w:r>
        <w:rPr>
          <w:rFonts w:hint="eastAsia"/>
          <w:color w:val="auto"/>
        </w:rPr>
        <w:t>圃地选择</w:t>
      </w:r>
    </w:p>
    <w:p w14:paraId="4158E40A">
      <w:pPr>
        <w:pStyle w:val="23"/>
        <w:rPr>
          <w:color w:val="auto"/>
        </w:rPr>
      </w:pPr>
      <w:r>
        <w:rPr>
          <w:rFonts w:hint="eastAsia"/>
          <w:color w:val="auto"/>
        </w:rPr>
        <w:t>圃地应选灌溉方便而又未种过柑桔类苗木的地块，土壤宜为疏松、土层深厚的壤土或沙壤土或冲积土。</w:t>
      </w:r>
    </w:p>
    <w:p w14:paraId="31F23B41">
      <w:pPr>
        <w:pStyle w:val="59"/>
        <w:numPr>
          <w:ilvl w:val="3"/>
          <w:numId w:val="0"/>
        </w:numPr>
        <w:spacing w:before="156" w:after="156"/>
        <w:ind w:left="0" w:leftChars="0" w:firstLine="0" w:firstLineChars="0"/>
        <w:rPr>
          <w:rFonts w:hint="eastAsia"/>
          <w:color w:val="auto"/>
        </w:rPr>
      </w:pPr>
      <w:r>
        <w:rPr>
          <w:rFonts w:hint="eastAsia" w:ascii="黑体" w:hAnsi="Times New Roman" w:eastAsia="黑体"/>
          <w:b w:val="0"/>
          <w:i w:val="0"/>
          <w:color w:val="auto"/>
          <w:kern w:val="21"/>
          <w:sz w:val="21"/>
          <w:szCs w:val="20"/>
          <w:lang w:val="en-US" w:eastAsia="zh-CN" w:bidi="ar-SA"/>
        </w:rPr>
        <w:t>B.2.3.2　</w:t>
      </w:r>
      <w:r>
        <w:rPr>
          <w:rFonts w:hint="eastAsia"/>
          <w:color w:val="auto"/>
        </w:rPr>
        <w:t>圃地准备</w:t>
      </w:r>
    </w:p>
    <w:p w14:paraId="4CEC25C3">
      <w:pPr>
        <w:pStyle w:val="59"/>
        <w:numPr>
          <w:ilvl w:val="3"/>
          <w:numId w:val="0"/>
        </w:numPr>
        <w:spacing w:before="156" w:after="156"/>
        <w:ind w:left="0" w:leftChars="0" w:firstLine="0" w:firstLineChars="0"/>
        <w:rPr>
          <w:rFonts w:hint="default" w:ascii="宋体" w:hAnsi="Times New Roman" w:eastAsia="宋体" w:cs="Times New Roman"/>
          <w:color w:val="auto"/>
          <w:kern w:val="0"/>
          <w:sz w:val="21"/>
          <w:szCs w:val="20"/>
          <w:lang w:val="en-US" w:eastAsia="zh-CN" w:bidi="ar-SA"/>
        </w:rPr>
      </w:pPr>
      <w:r>
        <w:rPr>
          <w:rFonts w:hint="eastAsia" w:ascii="黑体" w:hAnsi="Times New Roman" w:eastAsia="黑体"/>
          <w:b w:val="0"/>
          <w:i w:val="0"/>
          <w:color w:val="auto"/>
          <w:kern w:val="21"/>
          <w:sz w:val="21"/>
          <w:szCs w:val="20"/>
          <w:lang w:val="en-US" w:eastAsia="zh-CN" w:bidi="ar-SA"/>
        </w:rPr>
        <w:t>B.2.</w:t>
      </w:r>
      <w:r>
        <w:rPr>
          <w:rFonts w:hint="eastAsia" w:ascii="黑体" w:hAnsi="Times New Roman" w:eastAsia="黑体" w:cs="Times New Roman"/>
          <w:b w:val="0"/>
          <w:i w:val="0"/>
          <w:color w:val="auto"/>
          <w:kern w:val="21"/>
          <w:sz w:val="21"/>
          <w:szCs w:val="20"/>
          <w:lang w:val="en-US" w:eastAsia="zh-CN" w:bidi="ar-SA"/>
        </w:rPr>
        <w:t>3.2.1  常规育苗</w:t>
      </w:r>
    </w:p>
    <w:p w14:paraId="5F0848B2">
      <w:pPr>
        <w:pStyle w:val="59"/>
        <w:numPr>
          <w:ilvl w:val="3"/>
          <w:numId w:val="0"/>
        </w:numPr>
        <w:spacing w:before="156" w:after="156"/>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常规育苗圃地准备要求如下：</w:t>
      </w:r>
    </w:p>
    <w:p w14:paraId="6798741F">
      <w:pPr>
        <w:pStyle w:val="96"/>
        <w:numPr>
          <w:ilvl w:val="0"/>
          <w:numId w:val="19"/>
        </w:numPr>
        <w:tabs>
          <w:tab w:val="clear" w:pos="840"/>
        </w:tabs>
        <w:ind w:left="839" w:leftChars="0" w:hanging="419" w:firstLineChars="0"/>
        <w:rPr>
          <w:color w:val="auto"/>
        </w:rPr>
      </w:pPr>
      <w:r>
        <w:rPr>
          <w:rFonts w:hint="eastAsia"/>
          <w:color w:val="auto"/>
        </w:rPr>
        <w:t>施腐熟有机肥3</w:t>
      </w:r>
      <w:r>
        <w:rPr>
          <w:color w:val="auto"/>
        </w:rPr>
        <w:t>0</w:t>
      </w:r>
      <w:r>
        <w:rPr>
          <w:rFonts w:hint="eastAsia"/>
          <w:color w:val="auto"/>
          <w:lang w:val="en-US" w:eastAsia="zh-CN"/>
        </w:rPr>
        <w:t>t</w:t>
      </w:r>
      <w:r>
        <w:rPr>
          <w:color w:val="auto"/>
        </w:rPr>
        <w:t>/</w:t>
      </w:r>
      <w:r>
        <w:rPr>
          <w:rFonts w:hint="eastAsia"/>
          <w:color w:val="auto"/>
        </w:rPr>
        <w:t>hm</w:t>
      </w:r>
      <w:r>
        <w:rPr>
          <w:color w:val="auto"/>
          <w:vertAlign w:val="superscript"/>
        </w:rPr>
        <w:t>2</w:t>
      </w:r>
      <w:r>
        <w:rPr>
          <w:rFonts w:hint="eastAsia"/>
          <w:color w:val="auto"/>
        </w:rPr>
        <w:t>～</w:t>
      </w:r>
      <w:r>
        <w:rPr>
          <w:color w:val="auto"/>
        </w:rPr>
        <w:t>45</w:t>
      </w:r>
      <w:r>
        <w:rPr>
          <w:rFonts w:hint="eastAsia"/>
          <w:color w:val="auto"/>
          <w:lang w:val="en-US" w:eastAsia="zh-CN"/>
        </w:rPr>
        <w:t>t</w:t>
      </w:r>
      <w:r>
        <w:rPr>
          <w:color w:val="auto"/>
        </w:rPr>
        <w:t>/</w:t>
      </w:r>
      <w:r>
        <w:rPr>
          <w:rFonts w:hint="eastAsia"/>
          <w:color w:val="auto"/>
        </w:rPr>
        <w:t>hm</w:t>
      </w:r>
      <w:r>
        <w:rPr>
          <w:color w:val="auto"/>
          <w:vertAlign w:val="superscript"/>
        </w:rPr>
        <w:t>2</w:t>
      </w:r>
      <w:r>
        <w:rPr>
          <w:rFonts w:hint="eastAsia"/>
          <w:color w:val="auto"/>
        </w:rPr>
        <w:t>为基肥，然后先行翻土壤，深翻2</w:t>
      </w:r>
      <w:r>
        <w:rPr>
          <w:color w:val="auto"/>
        </w:rPr>
        <w:t>5cm</w:t>
      </w:r>
      <w:r>
        <w:rPr>
          <w:rFonts w:hint="eastAsia"/>
          <w:color w:val="auto"/>
        </w:rPr>
        <w:t>～</w:t>
      </w:r>
      <w:r>
        <w:rPr>
          <w:color w:val="auto"/>
        </w:rPr>
        <w:t>30cm</w:t>
      </w:r>
      <w:r>
        <w:rPr>
          <w:rFonts w:hint="eastAsia"/>
          <w:color w:val="auto"/>
        </w:rPr>
        <w:t>，于播前耙平，做成高2</w:t>
      </w:r>
      <w:r>
        <w:rPr>
          <w:color w:val="auto"/>
        </w:rPr>
        <w:t>5cm</w:t>
      </w:r>
      <w:r>
        <w:rPr>
          <w:rFonts w:hint="eastAsia"/>
          <w:color w:val="auto"/>
        </w:rPr>
        <w:t>、宽1</w:t>
      </w:r>
      <w:r>
        <w:rPr>
          <w:color w:val="auto"/>
        </w:rPr>
        <w:t>m</w:t>
      </w:r>
      <w:r>
        <w:rPr>
          <w:rFonts w:hint="eastAsia"/>
          <w:color w:val="auto"/>
        </w:rPr>
        <w:t>左右的苗床；</w:t>
      </w:r>
    </w:p>
    <w:p w14:paraId="075C48E2">
      <w:pPr>
        <w:pStyle w:val="96"/>
        <w:numPr>
          <w:ilvl w:val="0"/>
          <w:numId w:val="19"/>
        </w:numPr>
        <w:tabs>
          <w:tab w:val="clear" w:pos="840"/>
        </w:tabs>
        <w:ind w:left="839" w:leftChars="0" w:hanging="419" w:firstLineChars="0"/>
        <w:rPr>
          <w:rFonts w:hint="eastAsia"/>
          <w:color w:val="auto"/>
        </w:rPr>
      </w:pPr>
      <w:r>
        <w:rPr>
          <w:rFonts w:hint="eastAsia"/>
          <w:color w:val="auto"/>
        </w:rPr>
        <w:t>在播种或</w:t>
      </w:r>
      <w:r>
        <w:rPr>
          <w:rFonts w:hint="eastAsia"/>
          <w:color w:val="auto"/>
          <w:lang w:eastAsia="zh-CN"/>
        </w:rPr>
        <w:t>移</w:t>
      </w:r>
      <w:r>
        <w:rPr>
          <w:rFonts w:hint="eastAsia"/>
          <w:color w:val="auto"/>
        </w:rPr>
        <w:t>栽1</w:t>
      </w:r>
      <w:r>
        <w:rPr>
          <w:color w:val="auto"/>
        </w:rPr>
        <w:t>0 d</w:t>
      </w:r>
      <w:r>
        <w:rPr>
          <w:rFonts w:hint="eastAsia"/>
          <w:color w:val="auto"/>
        </w:rPr>
        <w:t>～</w:t>
      </w:r>
      <w:r>
        <w:rPr>
          <w:color w:val="auto"/>
        </w:rPr>
        <w:t>15d</w:t>
      </w:r>
      <w:r>
        <w:rPr>
          <w:rFonts w:hint="eastAsia"/>
          <w:color w:val="auto"/>
        </w:rPr>
        <w:t>，选用硫酸亚铁、生石灰等土壤消毒剂处理。</w:t>
      </w:r>
    </w:p>
    <w:p w14:paraId="3538C650">
      <w:pPr>
        <w:pStyle w:val="59"/>
        <w:numPr>
          <w:ilvl w:val="3"/>
          <w:numId w:val="0"/>
        </w:numPr>
        <w:spacing w:before="156" w:after="156"/>
        <w:ind w:left="0" w:leftChars="0" w:firstLine="0" w:firstLineChars="0"/>
        <w:rPr>
          <w:rFonts w:hint="eastAsia"/>
          <w:color w:val="auto"/>
          <w:lang w:val="en-US" w:eastAsia="zh-CN"/>
        </w:rPr>
      </w:pPr>
      <w:r>
        <w:rPr>
          <w:rFonts w:hint="eastAsia" w:ascii="黑体" w:hAnsi="Times New Roman" w:eastAsia="黑体"/>
          <w:b w:val="0"/>
          <w:i w:val="0"/>
          <w:color w:val="auto"/>
          <w:kern w:val="21"/>
          <w:sz w:val="21"/>
          <w:szCs w:val="20"/>
          <w:lang w:val="en-US" w:eastAsia="zh-CN" w:bidi="ar-SA"/>
        </w:rPr>
        <w:t>B.2.3.</w:t>
      </w:r>
      <w:r>
        <w:rPr>
          <w:rFonts w:hint="eastAsia" w:hAnsi="Times New Roman"/>
          <w:b w:val="0"/>
          <w:i w:val="0"/>
          <w:color w:val="auto"/>
          <w:kern w:val="21"/>
          <w:sz w:val="21"/>
          <w:szCs w:val="20"/>
          <w:lang w:val="en-US" w:eastAsia="zh-CN" w:bidi="ar-SA"/>
        </w:rPr>
        <w:t>2.2</w:t>
      </w:r>
      <w:r>
        <w:rPr>
          <w:rFonts w:hint="eastAsia"/>
          <w:color w:val="auto"/>
          <w:lang w:val="en-US" w:eastAsia="zh-CN"/>
        </w:rPr>
        <w:t xml:space="preserve">  容器育苗</w:t>
      </w:r>
    </w:p>
    <w:p w14:paraId="5E8DE7EB">
      <w:pPr>
        <w:pStyle w:val="23"/>
        <w:rPr>
          <w:rFonts w:hint="eastAsia"/>
          <w:color w:val="auto"/>
          <w:lang w:val="en-US" w:eastAsia="zh-CN"/>
        </w:rPr>
      </w:pPr>
      <w:r>
        <w:rPr>
          <w:rFonts w:hint="eastAsia"/>
          <w:color w:val="auto"/>
          <w:lang w:val="en-US" w:eastAsia="zh-CN"/>
        </w:rPr>
        <w:t>容器育苗准备要求如下：</w:t>
      </w:r>
    </w:p>
    <w:p w14:paraId="5049B23B">
      <w:pPr>
        <w:pStyle w:val="23"/>
        <w:numPr>
          <w:ilvl w:val="0"/>
          <w:numId w:val="20"/>
        </w:numPr>
        <w:rPr>
          <w:rFonts w:hint="default"/>
          <w:color w:val="auto"/>
          <w:lang w:val="en-US" w:eastAsia="zh-CN"/>
        </w:rPr>
      </w:pPr>
      <w:r>
        <w:rPr>
          <w:rFonts w:hint="eastAsia"/>
          <w:color w:val="auto"/>
          <w:lang w:val="en-US" w:eastAsia="zh-CN"/>
        </w:rPr>
        <w:t>容器选择</w:t>
      </w:r>
    </w:p>
    <w:p w14:paraId="4AE03301">
      <w:pPr>
        <w:pStyle w:val="23"/>
        <w:numPr>
          <w:ilvl w:val="0"/>
          <w:numId w:val="0"/>
        </w:numPr>
        <w:ind w:firstLine="420" w:firstLineChars="200"/>
        <w:rPr>
          <w:rFonts w:hint="default"/>
          <w:color w:val="auto"/>
          <w:lang w:val="en-US" w:eastAsia="zh-CN"/>
        </w:rPr>
      </w:pPr>
      <w:r>
        <w:rPr>
          <w:rFonts w:hint="eastAsia"/>
          <w:color w:val="auto"/>
          <w:lang w:val="en-US" w:eastAsia="zh-CN"/>
        </w:rPr>
        <w:t>用聚乙烯薄膜压制成型的营养袋为容器，圆柱形，高30cm，直径15cm，袋底部8个排水孔；方型，高30cm～35cm，上口径为10cm～12cm，下口径为8cm～10cm。每袋种1株苗，直至出圃。</w:t>
      </w:r>
    </w:p>
    <w:p w14:paraId="49379C6F">
      <w:pPr>
        <w:pStyle w:val="23"/>
        <w:numPr>
          <w:ilvl w:val="0"/>
          <w:numId w:val="20"/>
        </w:numPr>
        <w:rPr>
          <w:rFonts w:hint="default"/>
          <w:color w:val="auto"/>
          <w:lang w:val="en-US" w:eastAsia="zh-CN"/>
        </w:rPr>
      </w:pPr>
      <w:r>
        <w:rPr>
          <w:rFonts w:hint="eastAsia"/>
          <w:color w:val="auto"/>
          <w:lang w:val="en-US" w:eastAsia="zh-CN"/>
        </w:rPr>
        <w:t>营养土配方</w:t>
      </w:r>
    </w:p>
    <w:p w14:paraId="294E5365">
      <w:pPr>
        <w:pStyle w:val="23"/>
        <w:numPr>
          <w:ilvl w:val="0"/>
          <w:numId w:val="0"/>
        </w:numPr>
        <w:ind w:firstLine="420" w:firstLineChars="200"/>
        <w:rPr>
          <w:rFonts w:hint="default"/>
          <w:color w:val="auto"/>
          <w:lang w:val="en-US" w:eastAsia="zh-CN"/>
        </w:rPr>
      </w:pPr>
      <w:r>
        <w:rPr>
          <w:rFonts w:hint="eastAsia"/>
          <w:color w:val="auto"/>
          <w:lang w:val="en-US" w:eastAsia="zh-CN"/>
        </w:rPr>
        <w:t>砂质壤土、生物有机肥与谷壳（或椰糠、或锯木屑，或珍珠岩等），以体积比1:1:1比例混匀，        每m³混合土加枯饼粉8kg～10kg，钙镁磷3kg～4kg,堆沤发酵，完全腐熟后装袋栽苗。</w:t>
      </w:r>
    </w:p>
    <w:p w14:paraId="24273C45">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B.2.4　</w:t>
      </w:r>
      <w:r>
        <w:rPr>
          <w:rFonts w:hint="eastAsia"/>
          <w:color w:val="auto"/>
        </w:rPr>
        <w:t>嫁接繁殖</w:t>
      </w:r>
    </w:p>
    <w:p w14:paraId="01F603B4">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B.2.4.1　</w:t>
      </w:r>
      <w:r>
        <w:rPr>
          <w:rFonts w:hint="eastAsia"/>
          <w:color w:val="auto"/>
        </w:rPr>
        <w:t>砧木选择</w:t>
      </w:r>
    </w:p>
    <w:p w14:paraId="74E499E7">
      <w:pPr>
        <w:pStyle w:val="23"/>
        <w:rPr>
          <w:color w:val="auto"/>
        </w:rPr>
      </w:pPr>
      <w:r>
        <w:rPr>
          <w:rFonts w:hint="eastAsia"/>
          <w:color w:val="auto"/>
        </w:rPr>
        <w:t>砧木宜用枳[</w:t>
      </w:r>
      <w:r>
        <w:rPr>
          <w:rFonts w:ascii="Times New Roman" w:hAnsi="Times New Roman" w:eastAsia="宋体" w:cs="Times New Roman"/>
          <w:i/>
          <w:iCs/>
          <w:color w:val="auto"/>
          <w:highlight w:val="none"/>
        </w:rPr>
        <w:t>Poncirus trifoliata</w:t>
      </w:r>
      <w:r>
        <w:rPr>
          <w:rFonts w:hint="eastAsia"/>
          <w:color w:val="auto"/>
        </w:rPr>
        <w:t>（</w:t>
      </w:r>
      <w:r>
        <w:rPr>
          <w:color w:val="auto"/>
        </w:rPr>
        <w:t>L.</w:t>
      </w:r>
      <w:r>
        <w:rPr>
          <w:rFonts w:hint="eastAsia"/>
          <w:color w:val="auto"/>
        </w:rPr>
        <w:t>）</w:t>
      </w:r>
      <w:r>
        <w:rPr>
          <w:rFonts w:hint="eastAsia" w:ascii="Times New Roman" w:hAnsi="Times New Roman" w:eastAsia="宋体" w:cs="Times New Roman"/>
          <w:i w:val="0"/>
          <w:iCs w:val="0"/>
          <w:color w:val="auto"/>
          <w:highlight w:val="none"/>
        </w:rPr>
        <w:t>Raf.</w:t>
      </w:r>
      <w:r>
        <w:rPr>
          <w:rFonts w:hint="eastAsia"/>
          <w:color w:val="auto"/>
        </w:rPr>
        <w:t xml:space="preserve">]或本砧(酸橙 </w:t>
      </w:r>
      <w:r>
        <w:rPr>
          <w:rFonts w:ascii="Times New Roman" w:hAnsi="Times New Roman" w:eastAsia="宋体" w:cs="Times New Roman"/>
          <w:i/>
          <w:iCs/>
          <w:color w:val="auto"/>
          <w:highlight w:val="none"/>
        </w:rPr>
        <w:t>Citrus</w:t>
      </w:r>
      <w:r>
        <w:rPr>
          <w:rFonts w:hint="eastAsia" w:ascii="Times New Roman" w:hAnsi="Times New Roman" w:eastAsia="宋体" w:cs="Times New Roman"/>
          <w:i/>
          <w:iCs/>
          <w:color w:val="auto"/>
          <w:highlight w:val="none"/>
          <w:lang w:val="en-US" w:eastAsia="zh-CN"/>
        </w:rPr>
        <w:t xml:space="preserve"> </w:t>
      </w:r>
      <w:r>
        <w:rPr>
          <w:rFonts w:ascii="Times New Roman" w:hAnsi="Times New Roman" w:eastAsia="宋体" w:cs="Times New Roman"/>
          <w:i/>
          <w:iCs/>
          <w:color w:val="auto"/>
          <w:highlight w:val="none"/>
        </w:rPr>
        <w:t>aurantium</w:t>
      </w:r>
      <w:r>
        <w:rPr>
          <w:rFonts w:hint="eastAsia" w:ascii="Times New Roman" w:hAnsi="Times New Roman" w:eastAsia="宋体" w:cs="Times New Roman"/>
          <w:i w:val="0"/>
          <w:iCs w:val="0"/>
          <w:color w:val="auto"/>
          <w:highlight w:val="none"/>
        </w:rPr>
        <w:t xml:space="preserve"> L.</w:t>
      </w:r>
      <w:r>
        <w:rPr>
          <w:rFonts w:hint="eastAsia"/>
          <w:iCs/>
          <w:color w:val="auto"/>
        </w:rPr>
        <w:t>)</w:t>
      </w:r>
      <w:r>
        <w:rPr>
          <w:rFonts w:hint="eastAsia"/>
          <w:color w:val="auto"/>
        </w:rPr>
        <w:t>的一年生播种苗。</w:t>
      </w:r>
    </w:p>
    <w:p w14:paraId="1F429AA0">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B.2.4.2　</w:t>
      </w:r>
      <w:r>
        <w:rPr>
          <w:rFonts w:hint="eastAsia"/>
          <w:color w:val="auto"/>
        </w:rPr>
        <w:t>接穗</w:t>
      </w:r>
    </w:p>
    <w:p w14:paraId="57D4B6F7">
      <w:pPr>
        <w:pStyle w:val="23"/>
        <w:rPr>
          <w:rFonts w:hint="eastAsia"/>
          <w:color w:val="auto"/>
        </w:rPr>
      </w:pPr>
      <w:r>
        <w:rPr>
          <w:rFonts w:hint="eastAsia"/>
          <w:color w:val="auto"/>
        </w:rPr>
        <w:t>采用已开花结果的酸橙优良品种臭橙、香橙的枝条，选择适应性强、无病虫害的母树，剪取树冠处围中上部向阳处的1年生健壮枝梢做接穗。</w:t>
      </w:r>
    </w:p>
    <w:p w14:paraId="43D68E1C">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B.2.4.3　</w:t>
      </w:r>
      <w:r>
        <w:rPr>
          <w:rFonts w:hint="eastAsia"/>
          <w:color w:val="auto"/>
        </w:rPr>
        <w:t>嫁接时间</w:t>
      </w:r>
    </w:p>
    <w:p w14:paraId="79AF2A23">
      <w:pPr>
        <w:pStyle w:val="23"/>
        <w:rPr>
          <w:rFonts w:hint="eastAsia"/>
          <w:color w:val="auto"/>
        </w:rPr>
      </w:pPr>
      <w:r>
        <w:rPr>
          <w:rFonts w:hint="eastAsia"/>
          <w:color w:val="auto"/>
        </w:rPr>
        <w:t>宜在2月～4月上旬或7月～9月。</w:t>
      </w:r>
    </w:p>
    <w:p w14:paraId="49BC7EA9">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B.2.4.4　</w:t>
      </w:r>
      <w:r>
        <w:rPr>
          <w:rFonts w:hint="eastAsia"/>
          <w:color w:val="auto"/>
        </w:rPr>
        <w:t>嫁接方法</w:t>
      </w:r>
    </w:p>
    <w:p w14:paraId="6A82ED8B">
      <w:pPr>
        <w:pStyle w:val="23"/>
        <w:rPr>
          <w:rFonts w:hint="eastAsia"/>
          <w:color w:val="auto"/>
        </w:rPr>
      </w:pPr>
      <w:r>
        <w:rPr>
          <w:rFonts w:hint="eastAsia"/>
          <w:color w:val="auto"/>
        </w:rPr>
        <w:t>春季以单芽切接为主，秋季以单芽腹接为主。</w:t>
      </w:r>
    </w:p>
    <w:p w14:paraId="2C39D3BC">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B.2.5　</w:t>
      </w:r>
      <w:r>
        <w:rPr>
          <w:rFonts w:hint="eastAsia"/>
          <w:color w:val="auto"/>
        </w:rPr>
        <w:t>出圃</w:t>
      </w:r>
    </w:p>
    <w:p w14:paraId="06105137">
      <w:pPr>
        <w:pStyle w:val="23"/>
        <w:rPr>
          <w:color w:val="auto"/>
        </w:rPr>
      </w:pPr>
      <w:r>
        <w:rPr>
          <w:rFonts w:hint="eastAsia"/>
          <w:color w:val="auto"/>
        </w:rPr>
        <w:t>嫁接成活后，在苗圃培育1年，当苗木规格符合表B</w:t>
      </w:r>
      <w:r>
        <w:rPr>
          <w:color w:val="auto"/>
        </w:rPr>
        <w:t>.1</w:t>
      </w:r>
      <w:r>
        <w:rPr>
          <w:rFonts w:hint="eastAsia"/>
          <w:color w:val="auto"/>
        </w:rPr>
        <w:t>中要求时，可出圃定植。</w:t>
      </w:r>
    </w:p>
    <w:p w14:paraId="789545D0">
      <w:pPr>
        <w:pStyle w:val="125"/>
        <w:numPr>
          <w:ilvl w:val="1"/>
          <w:numId w:val="0"/>
        </w:numPr>
        <w:spacing w:before="156" w:after="156"/>
        <w:ind w:left="567" w:leftChars="0" w:hanging="567" w:firstLineChars="0"/>
        <w:rPr>
          <w:rFonts w:hint="eastAsia"/>
          <w:color w:val="auto"/>
        </w:rPr>
      </w:pPr>
      <w:r>
        <w:rPr>
          <w:rFonts w:hint="eastAsia" w:ascii="黑体" w:eastAsia="黑体"/>
          <w:color w:val="auto"/>
          <w:kern w:val="2"/>
          <w:sz w:val="21"/>
          <w:szCs w:val="21"/>
          <w:lang w:val="en-US" w:eastAsia="zh-CN" w:bidi="ar-SA"/>
        </w:rPr>
        <w:t>表</w:t>
      </w:r>
      <w:r>
        <w:rPr>
          <w:rFonts w:hint="eastAsia"/>
          <w:color w:val="auto"/>
          <w:kern w:val="2"/>
          <w:sz w:val="21"/>
          <w:szCs w:val="21"/>
          <w:lang w:val="en-US" w:eastAsia="zh-CN" w:bidi="ar-SA"/>
        </w:rPr>
        <w:t>B</w:t>
      </w:r>
      <w:r>
        <w:rPr>
          <w:rFonts w:hint="eastAsia" w:ascii="黑体" w:eastAsia="黑体"/>
          <w:color w:val="auto"/>
          <w:kern w:val="2"/>
          <w:sz w:val="21"/>
          <w:szCs w:val="21"/>
          <w:lang w:val="en-US" w:eastAsia="zh-CN" w:bidi="ar-SA"/>
        </w:rPr>
        <w:t>.1　</w:t>
      </w:r>
      <w:r>
        <w:rPr>
          <w:rFonts w:hint="eastAsia"/>
          <w:color w:val="auto"/>
        </w:rPr>
        <w:t>苗木规格</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4"/>
        <w:gridCol w:w="1914"/>
        <w:gridCol w:w="1914"/>
        <w:gridCol w:w="1914"/>
        <w:gridCol w:w="1915"/>
      </w:tblGrid>
      <w:tr w14:paraId="37056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4" w:type="dxa"/>
            <w:noWrap w:val="0"/>
            <w:vAlign w:val="top"/>
          </w:tcPr>
          <w:p w14:paraId="15CC52BA">
            <w:pPr>
              <w:pStyle w:val="23"/>
              <w:ind w:firstLine="0" w:firstLineChars="0"/>
              <w:jc w:val="center"/>
              <w:rPr>
                <w:rFonts w:hint="eastAsia"/>
                <w:color w:val="auto"/>
                <w:sz w:val="18"/>
                <w:szCs w:val="18"/>
              </w:rPr>
            </w:pPr>
            <w:r>
              <w:rPr>
                <w:rFonts w:hint="eastAsia"/>
                <w:color w:val="auto"/>
                <w:sz w:val="18"/>
                <w:szCs w:val="18"/>
              </w:rPr>
              <w:t>苗木等级</w:t>
            </w:r>
          </w:p>
        </w:tc>
        <w:tc>
          <w:tcPr>
            <w:tcW w:w="1914" w:type="dxa"/>
            <w:noWrap w:val="0"/>
            <w:vAlign w:val="top"/>
          </w:tcPr>
          <w:p w14:paraId="5180F609">
            <w:pPr>
              <w:pStyle w:val="23"/>
              <w:ind w:firstLine="0" w:firstLineChars="0"/>
              <w:jc w:val="center"/>
              <w:rPr>
                <w:rFonts w:hint="eastAsia"/>
                <w:color w:val="auto"/>
                <w:sz w:val="18"/>
                <w:szCs w:val="18"/>
              </w:rPr>
            </w:pPr>
            <w:r>
              <w:rPr>
                <w:rFonts w:hint="eastAsia"/>
                <w:color w:val="auto"/>
                <w:sz w:val="18"/>
                <w:szCs w:val="18"/>
              </w:rPr>
              <w:t>苗木径粗（cm）</w:t>
            </w:r>
          </w:p>
        </w:tc>
        <w:tc>
          <w:tcPr>
            <w:tcW w:w="1914" w:type="dxa"/>
            <w:noWrap w:val="0"/>
            <w:vAlign w:val="top"/>
          </w:tcPr>
          <w:p w14:paraId="190FCADB">
            <w:pPr>
              <w:pStyle w:val="23"/>
              <w:ind w:firstLine="0" w:firstLineChars="0"/>
              <w:jc w:val="center"/>
              <w:rPr>
                <w:rFonts w:hint="eastAsia"/>
                <w:color w:val="auto"/>
                <w:sz w:val="18"/>
                <w:szCs w:val="18"/>
              </w:rPr>
            </w:pPr>
            <w:r>
              <w:rPr>
                <w:rFonts w:hint="eastAsia"/>
                <w:color w:val="auto"/>
                <w:sz w:val="18"/>
                <w:szCs w:val="18"/>
              </w:rPr>
              <w:t>苗高（cm）</w:t>
            </w:r>
          </w:p>
        </w:tc>
        <w:tc>
          <w:tcPr>
            <w:tcW w:w="1914" w:type="dxa"/>
            <w:noWrap w:val="0"/>
            <w:vAlign w:val="top"/>
          </w:tcPr>
          <w:p w14:paraId="4C4E186A">
            <w:pPr>
              <w:pStyle w:val="23"/>
              <w:ind w:firstLine="0" w:firstLineChars="0"/>
              <w:jc w:val="center"/>
              <w:rPr>
                <w:rFonts w:hint="eastAsia"/>
                <w:color w:val="auto"/>
                <w:sz w:val="18"/>
                <w:szCs w:val="18"/>
              </w:rPr>
            </w:pPr>
            <w:r>
              <w:rPr>
                <w:rFonts w:hint="eastAsia"/>
                <w:color w:val="auto"/>
                <w:sz w:val="18"/>
                <w:szCs w:val="18"/>
              </w:rPr>
              <w:t>分枝数条</w:t>
            </w:r>
          </w:p>
        </w:tc>
        <w:tc>
          <w:tcPr>
            <w:tcW w:w="1915" w:type="dxa"/>
            <w:noWrap w:val="0"/>
            <w:vAlign w:val="top"/>
          </w:tcPr>
          <w:p w14:paraId="44141EDD">
            <w:pPr>
              <w:pStyle w:val="23"/>
              <w:ind w:firstLine="0" w:firstLineChars="0"/>
              <w:jc w:val="center"/>
              <w:rPr>
                <w:rFonts w:hint="eastAsia"/>
                <w:color w:val="auto"/>
                <w:sz w:val="18"/>
                <w:szCs w:val="18"/>
              </w:rPr>
            </w:pPr>
            <w:r>
              <w:rPr>
                <w:rFonts w:hint="eastAsia"/>
                <w:color w:val="auto"/>
                <w:sz w:val="18"/>
                <w:szCs w:val="18"/>
              </w:rPr>
              <w:t>其他指标</w:t>
            </w:r>
          </w:p>
        </w:tc>
      </w:tr>
      <w:tr w14:paraId="187C8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atLeast"/>
        </w:trPr>
        <w:tc>
          <w:tcPr>
            <w:tcW w:w="1914" w:type="dxa"/>
            <w:noWrap w:val="0"/>
            <w:vAlign w:val="center"/>
          </w:tcPr>
          <w:p w14:paraId="1FE4B015">
            <w:pPr>
              <w:widowControl/>
              <w:tabs>
                <w:tab w:val="center" w:pos="4201"/>
                <w:tab w:val="right" w:leader="dot" w:pos="9298"/>
              </w:tabs>
              <w:autoSpaceDE w:val="0"/>
              <w:autoSpaceDN w:val="0"/>
              <w:jc w:val="center"/>
              <w:rPr>
                <w:rFonts w:hint="eastAsia" w:ascii="宋体"/>
                <w:color w:val="auto"/>
                <w:kern w:val="0"/>
                <w:sz w:val="18"/>
                <w:szCs w:val="18"/>
              </w:rPr>
            </w:pPr>
            <w:r>
              <w:rPr>
                <w:rFonts w:hint="eastAsia" w:ascii="宋体"/>
                <w:color w:val="auto"/>
                <w:kern w:val="0"/>
                <w:sz w:val="18"/>
                <w:szCs w:val="18"/>
              </w:rPr>
              <w:t>Ⅰ级</w:t>
            </w:r>
          </w:p>
        </w:tc>
        <w:tc>
          <w:tcPr>
            <w:tcW w:w="1914" w:type="dxa"/>
            <w:noWrap w:val="0"/>
            <w:vAlign w:val="center"/>
          </w:tcPr>
          <w:p w14:paraId="78C3850B">
            <w:pPr>
              <w:pStyle w:val="23"/>
              <w:ind w:firstLine="0" w:firstLineChars="0"/>
              <w:rPr>
                <w:rFonts w:hint="eastAsia"/>
                <w:color w:val="auto"/>
                <w:sz w:val="18"/>
                <w:szCs w:val="18"/>
              </w:rPr>
            </w:pPr>
            <w:r>
              <w:rPr>
                <w:rFonts w:hint="eastAsia"/>
                <w:color w:val="auto"/>
                <w:sz w:val="18"/>
                <w:szCs w:val="18"/>
              </w:rPr>
              <w:t>≥0</w:t>
            </w:r>
            <w:r>
              <w:rPr>
                <w:color w:val="auto"/>
                <w:sz w:val="18"/>
                <w:szCs w:val="18"/>
              </w:rPr>
              <w:t>.8</w:t>
            </w:r>
          </w:p>
        </w:tc>
        <w:tc>
          <w:tcPr>
            <w:tcW w:w="1914" w:type="dxa"/>
            <w:noWrap w:val="0"/>
            <w:vAlign w:val="center"/>
          </w:tcPr>
          <w:p w14:paraId="44A63B82">
            <w:pPr>
              <w:pStyle w:val="23"/>
              <w:ind w:firstLine="0" w:firstLineChars="0"/>
              <w:rPr>
                <w:rFonts w:hint="eastAsia"/>
                <w:color w:val="auto"/>
                <w:sz w:val="18"/>
                <w:szCs w:val="18"/>
              </w:rPr>
            </w:pPr>
            <w:r>
              <w:rPr>
                <w:rFonts w:hint="eastAsia"/>
                <w:color w:val="auto"/>
                <w:sz w:val="18"/>
                <w:szCs w:val="18"/>
              </w:rPr>
              <w:t>≥6</w:t>
            </w:r>
            <w:r>
              <w:rPr>
                <w:color w:val="auto"/>
                <w:sz w:val="18"/>
                <w:szCs w:val="18"/>
              </w:rPr>
              <w:t>0</w:t>
            </w:r>
          </w:p>
        </w:tc>
        <w:tc>
          <w:tcPr>
            <w:tcW w:w="1914" w:type="dxa"/>
            <w:noWrap w:val="0"/>
            <w:vAlign w:val="center"/>
          </w:tcPr>
          <w:p w14:paraId="5FEE0D02">
            <w:pPr>
              <w:pStyle w:val="23"/>
              <w:ind w:firstLine="0" w:firstLineChars="0"/>
              <w:rPr>
                <w:rFonts w:hint="eastAsia"/>
                <w:color w:val="auto"/>
                <w:sz w:val="18"/>
                <w:szCs w:val="18"/>
              </w:rPr>
            </w:pPr>
            <w:r>
              <w:rPr>
                <w:rFonts w:hint="eastAsia"/>
                <w:color w:val="auto"/>
                <w:sz w:val="18"/>
                <w:szCs w:val="18"/>
              </w:rPr>
              <w:t>≥3</w:t>
            </w:r>
          </w:p>
        </w:tc>
        <w:tc>
          <w:tcPr>
            <w:tcW w:w="1915" w:type="dxa"/>
            <w:vMerge w:val="restart"/>
            <w:noWrap w:val="0"/>
            <w:vAlign w:val="center"/>
          </w:tcPr>
          <w:p w14:paraId="26F6D1F0">
            <w:pPr>
              <w:pStyle w:val="23"/>
              <w:ind w:firstLine="0" w:firstLineChars="0"/>
              <w:rPr>
                <w:rFonts w:hint="eastAsia"/>
                <w:color w:val="auto"/>
                <w:sz w:val="18"/>
                <w:szCs w:val="18"/>
              </w:rPr>
            </w:pPr>
            <w:r>
              <w:rPr>
                <w:rFonts w:hint="eastAsia"/>
                <w:color w:val="auto"/>
                <w:sz w:val="18"/>
                <w:szCs w:val="18"/>
              </w:rPr>
              <w:t>嫁接一年生苗，色泽正常，顶芽完好，根茎无扭曲现象，根系完整，主根和2</w:t>
            </w:r>
            <w:r>
              <w:rPr>
                <w:color w:val="auto"/>
                <w:sz w:val="18"/>
                <w:szCs w:val="18"/>
              </w:rPr>
              <w:t>0cm</w:t>
            </w:r>
            <w:r>
              <w:rPr>
                <w:rFonts w:hint="eastAsia"/>
                <w:color w:val="auto"/>
                <w:sz w:val="18"/>
                <w:szCs w:val="18"/>
              </w:rPr>
              <w:t>以上，且具有2条～3条粗壮的侧根，须根发达，无检疫性病虫害，无机械损伤。</w:t>
            </w:r>
          </w:p>
          <w:p w14:paraId="6A2A1B56">
            <w:pPr>
              <w:pStyle w:val="23"/>
              <w:ind w:firstLine="0" w:firstLineChars="0"/>
              <w:rPr>
                <w:rFonts w:hint="default" w:eastAsia="宋体"/>
                <w:color w:val="auto"/>
                <w:sz w:val="18"/>
                <w:szCs w:val="18"/>
                <w:lang w:val="en-US" w:eastAsia="zh-CN"/>
              </w:rPr>
            </w:pPr>
            <w:r>
              <w:rPr>
                <w:rFonts w:hint="eastAsia"/>
                <w:color w:val="auto"/>
                <w:sz w:val="18"/>
                <w:szCs w:val="18"/>
                <w:lang w:val="en-US" w:eastAsia="zh-CN"/>
              </w:rPr>
              <w:t>容器苗外袋不脱落。</w:t>
            </w:r>
          </w:p>
        </w:tc>
      </w:tr>
      <w:tr w14:paraId="4442A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4" w:type="dxa"/>
            <w:noWrap w:val="0"/>
            <w:vAlign w:val="center"/>
          </w:tcPr>
          <w:p w14:paraId="3BC08856">
            <w:pPr>
              <w:widowControl/>
              <w:tabs>
                <w:tab w:val="center" w:pos="4201"/>
                <w:tab w:val="right" w:leader="dot" w:pos="9298"/>
              </w:tabs>
              <w:autoSpaceDE w:val="0"/>
              <w:autoSpaceDN w:val="0"/>
              <w:jc w:val="center"/>
              <w:rPr>
                <w:rFonts w:hint="eastAsia" w:ascii="宋体"/>
                <w:color w:val="auto"/>
                <w:kern w:val="0"/>
                <w:sz w:val="18"/>
                <w:szCs w:val="18"/>
              </w:rPr>
            </w:pPr>
            <w:r>
              <w:rPr>
                <w:rFonts w:hint="eastAsia" w:ascii="宋体"/>
                <w:color w:val="auto"/>
                <w:kern w:val="0"/>
                <w:sz w:val="18"/>
                <w:szCs w:val="18"/>
              </w:rPr>
              <w:t>Ⅱ级</w:t>
            </w:r>
          </w:p>
        </w:tc>
        <w:tc>
          <w:tcPr>
            <w:tcW w:w="1914" w:type="dxa"/>
            <w:noWrap w:val="0"/>
            <w:vAlign w:val="center"/>
          </w:tcPr>
          <w:p w14:paraId="1C703D14">
            <w:pPr>
              <w:pStyle w:val="23"/>
              <w:ind w:firstLine="0" w:firstLineChars="0"/>
              <w:rPr>
                <w:rFonts w:hint="eastAsia"/>
                <w:color w:val="auto"/>
                <w:sz w:val="18"/>
                <w:szCs w:val="18"/>
              </w:rPr>
            </w:pPr>
            <w:r>
              <w:rPr>
                <w:rFonts w:hint="eastAsia"/>
                <w:color w:val="auto"/>
                <w:sz w:val="18"/>
                <w:szCs w:val="18"/>
              </w:rPr>
              <w:t>≥0</w:t>
            </w:r>
            <w:r>
              <w:rPr>
                <w:color w:val="auto"/>
                <w:sz w:val="18"/>
                <w:szCs w:val="18"/>
              </w:rPr>
              <w:t>.6</w:t>
            </w:r>
          </w:p>
        </w:tc>
        <w:tc>
          <w:tcPr>
            <w:tcW w:w="1914" w:type="dxa"/>
            <w:noWrap w:val="0"/>
            <w:vAlign w:val="center"/>
          </w:tcPr>
          <w:p w14:paraId="4DA781F8">
            <w:pPr>
              <w:pStyle w:val="23"/>
              <w:ind w:firstLine="0" w:firstLineChars="0"/>
              <w:rPr>
                <w:rFonts w:hint="eastAsia"/>
                <w:color w:val="auto"/>
                <w:sz w:val="18"/>
                <w:szCs w:val="18"/>
              </w:rPr>
            </w:pPr>
            <w:r>
              <w:rPr>
                <w:rFonts w:hint="eastAsia"/>
                <w:color w:val="auto"/>
                <w:sz w:val="18"/>
                <w:szCs w:val="18"/>
              </w:rPr>
              <w:t>≥4</w:t>
            </w:r>
            <w:r>
              <w:rPr>
                <w:color w:val="auto"/>
                <w:sz w:val="18"/>
                <w:szCs w:val="18"/>
              </w:rPr>
              <w:t>0</w:t>
            </w:r>
          </w:p>
        </w:tc>
        <w:tc>
          <w:tcPr>
            <w:tcW w:w="1914" w:type="dxa"/>
            <w:noWrap w:val="0"/>
            <w:vAlign w:val="center"/>
          </w:tcPr>
          <w:p w14:paraId="698DB3A1">
            <w:pPr>
              <w:pStyle w:val="23"/>
              <w:ind w:firstLine="0" w:firstLineChars="0"/>
              <w:rPr>
                <w:rFonts w:hint="eastAsia"/>
                <w:color w:val="auto"/>
                <w:sz w:val="18"/>
                <w:szCs w:val="18"/>
              </w:rPr>
            </w:pPr>
            <w:r>
              <w:rPr>
                <w:rFonts w:hint="eastAsia"/>
                <w:color w:val="auto"/>
                <w:sz w:val="18"/>
                <w:szCs w:val="18"/>
              </w:rPr>
              <w:t>≥2</w:t>
            </w:r>
          </w:p>
        </w:tc>
        <w:tc>
          <w:tcPr>
            <w:tcW w:w="1915" w:type="dxa"/>
            <w:vMerge w:val="continue"/>
            <w:noWrap w:val="0"/>
            <w:vAlign w:val="top"/>
          </w:tcPr>
          <w:p w14:paraId="36658A84">
            <w:pPr>
              <w:pStyle w:val="23"/>
              <w:ind w:firstLine="0" w:firstLineChars="0"/>
              <w:rPr>
                <w:rFonts w:hint="eastAsia"/>
                <w:color w:val="auto"/>
                <w:szCs w:val="18"/>
              </w:rPr>
            </w:pPr>
          </w:p>
        </w:tc>
      </w:tr>
    </w:tbl>
    <w:p w14:paraId="5BE37510">
      <w:pPr>
        <w:pStyle w:val="69"/>
        <w:numPr>
          <w:ilvl w:val="1"/>
          <w:numId w:val="0"/>
        </w:numPr>
        <w:spacing w:before="312" w:after="312"/>
        <w:ind w:left="0" w:leftChars="0" w:firstLine="0" w:firstLineChars="0"/>
        <w:rPr>
          <w:color w:val="auto"/>
        </w:rPr>
      </w:pPr>
      <w:r>
        <w:rPr>
          <w:rFonts w:hint="eastAsia" w:ascii="黑体" w:hAnsi="Times New Roman" w:eastAsia="黑体"/>
          <w:b w:val="0"/>
          <w:i w:val="0"/>
          <w:snapToGrid/>
          <w:color w:val="auto"/>
          <w:spacing w:val="0"/>
          <w:w w:val="100"/>
          <w:kern w:val="21"/>
          <w:sz w:val="21"/>
          <w:lang w:val="en-US" w:eastAsia="zh-CN" w:bidi="ar-SA"/>
        </w:rPr>
        <w:t>B.3　</w:t>
      </w:r>
      <w:r>
        <w:rPr>
          <w:rFonts w:hint="eastAsia"/>
          <w:color w:val="auto"/>
        </w:rPr>
        <w:t>移栽定植</w:t>
      </w:r>
    </w:p>
    <w:p w14:paraId="72BBF970">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B.3.1　</w:t>
      </w:r>
      <w:r>
        <w:rPr>
          <w:rFonts w:hint="eastAsia"/>
          <w:color w:val="auto"/>
        </w:rPr>
        <w:t>整地</w:t>
      </w:r>
    </w:p>
    <w:p w14:paraId="598C35E6">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B.3.1.1　</w:t>
      </w:r>
      <w:r>
        <w:rPr>
          <w:rFonts w:hint="eastAsia"/>
          <w:color w:val="auto"/>
        </w:rPr>
        <w:t>时间</w:t>
      </w:r>
    </w:p>
    <w:p w14:paraId="76C836E7">
      <w:pPr>
        <w:pStyle w:val="23"/>
        <w:rPr>
          <w:rFonts w:hint="eastAsia"/>
          <w:color w:val="auto"/>
        </w:rPr>
      </w:pPr>
      <w:r>
        <w:rPr>
          <w:rFonts w:hint="eastAsia"/>
          <w:color w:val="auto"/>
        </w:rPr>
        <w:t>栽植前一年的秋冬季。</w:t>
      </w:r>
    </w:p>
    <w:p w14:paraId="62586796">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B.3.1.2　</w:t>
      </w:r>
      <w:r>
        <w:rPr>
          <w:rFonts w:hint="eastAsia"/>
          <w:color w:val="auto"/>
        </w:rPr>
        <w:t>方式</w:t>
      </w:r>
    </w:p>
    <w:p w14:paraId="294C13CB">
      <w:pPr>
        <w:pStyle w:val="79"/>
        <w:numPr>
          <w:ilvl w:val="4"/>
          <w:numId w:val="0"/>
        </w:numPr>
        <w:ind w:left="0" w:leftChars="0" w:firstLine="0" w:firstLineChars="0"/>
        <w:rPr>
          <w:color w:val="auto"/>
        </w:rPr>
      </w:pPr>
      <w:r>
        <w:rPr>
          <w:rFonts w:hint="eastAsia" w:ascii="黑体" w:hAnsi="Times New Roman" w:eastAsia="黑体"/>
          <w:b w:val="0"/>
          <w:i w:val="0"/>
          <w:color w:val="auto"/>
          <w:kern w:val="21"/>
          <w:sz w:val="21"/>
          <w:szCs w:val="21"/>
          <w:lang w:val="en-US" w:eastAsia="zh-CN" w:bidi="ar-SA"/>
        </w:rPr>
        <w:t>B.3.1.2.1　</w:t>
      </w:r>
      <w:r>
        <w:rPr>
          <w:rFonts w:hint="eastAsia"/>
          <w:color w:val="auto"/>
        </w:rPr>
        <w:t>机械全面翻耕垦复，或挖条带，或挖大穴</w:t>
      </w:r>
      <w:r>
        <w:rPr>
          <w:rFonts w:hint="eastAsia"/>
          <w:color w:val="auto"/>
          <w:lang w:eastAsia="zh-CN"/>
        </w:rPr>
        <w:t>，推广起垄栽培</w:t>
      </w:r>
      <w:r>
        <w:rPr>
          <w:rFonts w:hint="eastAsia"/>
          <w:color w:val="auto"/>
        </w:rPr>
        <w:t>。</w:t>
      </w:r>
    </w:p>
    <w:p w14:paraId="7D938563">
      <w:pPr>
        <w:pStyle w:val="79"/>
        <w:numPr>
          <w:ilvl w:val="4"/>
          <w:numId w:val="0"/>
        </w:numPr>
        <w:ind w:left="0" w:leftChars="0" w:firstLine="0" w:firstLineChars="0"/>
        <w:rPr>
          <w:color w:val="auto"/>
        </w:rPr>
      </w:pPr>
      <w:r>
        <w:rPr>
          <w:rFonts w:hint="eastAsia" w:ascii="黑体" w:hAnsi="Times New Roman" w:eastAsia="黑体"/>
          <w:b w:val="0"/>
          <w:i w:val="0"/>
          <w:color w:val="auto"/>
          <w:kern w:val="21"/>
          <w:sz w:val="21"/>
          <w:szCs w:val="21"/>
          <w:lang w:val="en-US" w:eastAsia="zh-CN" w:bidi="ar-SA"/>
        </w:rPr>
        <w:t>B.3.1.2.2　</w:t>
      </w:r>
      <w:r>
        <w:rPr>
          <w:rFonts w:hint="eastAsia"/>
          <w:color w:val="auto"/>
        </w:rPr>
        <w:t>全垦或</w:t>
      </w:r>
      <w:r>
        <w:rPr>
          <w:rFonts w:hint="eastAsia"/>
          <w:color w:val="auto"/>
          <w:lang w:eastAsia="zh-CN"/>
        </w:rPr>
        <w:t>条垦</w:t>
      </w:r>
      <w:r>
        <w:rPr>
          <w:rFonts w:hint="eastAsia"/>
          <w:color w:val="auto"/>
        </w:rPr>
        <w:t>：以水平方向作行向，按行距5</w:t>
      </w:r>
      <w:r>
        <w:rPr>
          <w:color w:val="auto"/>
        </w:rPr>
        <w:t>m</w:t>
      </w:r>
      <w:r>
        <w:rPr>
          <w:rFonts w:hint="eastAsia"/>
          <w:color w:val="auto"/>
        </w:rPr>
        <w:t>用挖机开壕沟，沟宽</w:t>
      </w:r>
      <w:r>
        <w:rPr>
          <w:color w:val="auto"/>
        </w:rPr>
        <w:t>1m</w:t>
      </w:r>
      <w:r>
        <w:rPr>
          <w:rFonts w:hint="eastAsia"/>
          <w:color w:val="auto"/>
        </w:rPr>
        <w:t>，沟深8</w:t>
      </w:r>
      <w:r>
        <w:rPr>
          <w:color w:val="auto"/>
        </w:rPr>
        <w:t>0cm</w:t>
      </w:r>
      <w:r>
        <w:rPr>
          <w:rFonts w:hint="eastAsia"/>
          <w:color w:val="auto"/>
        </w:rPr>
        <w:t>。将表土及杂草直接进入壕沟底层，填至沟深一半，挖起的底层土放置在壕沟两侧。在壕沟按株距3</w:t>
      </w:r>
      <w:r>
        <w:rPr>
          <w:color w:val="auto"/>
        </w:rPr>
        <w:t>m</w:t>
      </w:r>
      <w:r>
        <w:rPr>
          <w:rFonts w:hint="eastAsia"/>
          <w:color w:val="auto"/>
        </w:rPr>
        <w:t>定栽植点，栽植点位置施有机肥1</w:t>
      </w:r>
      <w:r>
        <w:rPr>
          <w:color w:val="auto"/>
        </w:rPr>
        <w:t>0kg</w:t>
      </w:r>
      <w:r>
        <w:rPr>
          <w:rFonts w:hint="eastAsia"/>
          <w:color w:val="auto"/>
        </w:rPr>
        <w:t>、钙镁磷肥1</w:t>
      </w:r>
      <w:r>
        <w:rPr>
          <w:color w:val="auto"/>
        </w:rPr>
        <w:t>kg</w:t>
      </w:r>
      <w:r>
        <w:rPr>
          <w:rFonts w:hint="eastAsia"/>
          <w:color w:val="auto"/>
        </w:rPr>
        <w:t>、生石灰0</w:t>
      </w:r>
      <w:r>
        <w:rPr>
          <w:color w:val="auto"/>
        </w:rPr>
        <w:t>.5kg</w:t>
      </w:r>
      <w:r>
        <w:rPr>
          <w:rFonts w:hint="eastAsia"/>
          <w:color w:val="auto"/>
        </w:rPr>
        <w:t>，回填土并将行间表土</w:t>
      </w:r>
      <w:r>
        <w:rPr>
          <w:rFonts w:hint="eastAsia"/>
          <w:color w:val="auto"/>
          <w:lang w:eastAsia="zh-CN"/>
        </w:rPr>
        <w:t>起堆</w:t>
      </w:r>
      <w:r>
        <w:rPr>
          <w:rFonts w:hint="eastAsia"/>
          <w:color w:val="auto"/>
        </w:rPr>
        <w:t>。有机肥应符合N</w:t>
      </w:r>
      <w:r>
        <w:rPr>
          <w:color w:val="auto"/>
        </w:rPr>
        <w:t>Y</w:t>
      </w:r>
      <w:r>
        <w:rPr>
          <w:rFonts w:hint="eastAsia"/>
          <w:color w:val="auto"/>
          <w:lang w:val="en-US" w:eastAsia="zh-CN"/>
        </w:rPr>
        <w:t>/T</w:t>
      </w:r>
      <w:r>
        <w:rPr>
          <w:color w:val="auto"/>
        </w:rPr>
        <w:t xml:space="preserve"> 525</w:t>
      </w:r>
      <w:r>
        <w:rPr>
          <w:rFonts w:hint="eastAsia"/>
          <w:color w:val="auto"/>
        </w:rPr>
        <w:t>要求。</w:t>
      </w:r>
    </w:p>
    <w:p w14:paraId="760B32E7">
      <w:pPr>
        <w:pStyle w:val="79"/>
        <w:numPr>
          <w:ilvl w:val="4"/>
          <w:numId w:val="0"/>
        </w:numPr>
        <w:ind w:left="0" w:leftChars="0" w:firstLine="0" w:firstLineChars="0"/>
        <w:rPr>
          <w:rFonts w:hint="eastAsia"/>
          <w:color w:val="auto"/>
        </w:rPr>
      </w:pPr>
      <w:r>
        <w:rPr>
          <w:rFonts w:hint="eastAsia" w:ascii="黑体" w:hAnsi="Times New Roman" w:eastAsia="黑体"/>
          <w:b w:val="0"/>
          <w:i w:val="0"/>
          <w:color w:val="auto"/>
          <w:kern w:val="21"/>
          <w:sz w:val="21"/>
          <w:szCs w:val="21"/>
          <w:lang w:val="en-US" w:eastAsia="zh-CN" w:bidi="ar-SA"/>
        </w:rPr>
        <w:t>B.3.1.2.3　</w:t>
      </w:r>
      <w:r>
        <w:rPr>
          <w:rFonts w:hint="eastAsia"/>
          <w:color w:val="auto"/>
        </w:rPr>
        <w:t>穴垦：按行距4</w:t>
      </w:r>
      <w:r>
        <w:rPr>
          <w:color w:val="auto"/>
        </w:rPr>
        <w:t>m</w:t>
      </w:r>
      <w:r>
        <w:rPr>
          <w:rFonts w:hint="eastAsia"/>
          <w:color w:val="auto"/>
        </w:rPr>
        <w:t>～5</w:t>
      </w:r>
      <w:r>
        <w:rPr>
          <w:color w:val="auto"/>
        </w:rPr>
        <w:t>m</w:t>
      </w:r>
      <w:r>
        <w:rPr>
          <w:rFonts w:hint="eastAsia"/>
          <w:color w:val="auto"/>
        </w:rPr>
        <w:t>、株距3</w:t>
      </w:r>
      <w:r>
        <w:rPr>
          <w:color w:val="auto"/>
        </w:rPr>
        <w:t>m</w:t>
      </w:r>
      <w:r>
        <w:rPr>
          <w:rFonts w:hint="eastAsia"/>
          <w:color w:val="auto"/>
        </w:rPr>
        <w:t>～4</w:t>
      </w:r>
      <w:r>
        <w:rPr>
          <w:color w:val="auto"/>
        </w:rPr>
        <w:t>m</w:t>
      </w:r>
      <w:r>
        <w:rPr>
          <w:rFonts w:hint="eastAsia"/>
          <w:color w:val="auto"/>
        </w:rPr>
        <w:t>定点挖穴，穴径8</w:t>
      </w:r>
      <w:r>
        <w:rPr>
          <w:color w:val="auto"/>
        </w:rPr>
        <w:t>0cm</w:t>
      </w:r>
      <w:r>
        <w:rPr>
          <w:rFonts w:hint="eastAsia"/>
          <w:color w:val="auto"/>
        </w:rPr>
        <w:t>，深7</w:t>
      </w:r>
      <w:r>
        <w:rPr>
          <w:color w:val="auto"/>
        </w:rPr>
        <w:t>0cm</w:t>
      </w:r>
      <w:r>
        <w:rPr>
          <w:rFonts w:hint="eastAsia"/>
          <w:color w:val="auto"/>
        </w:rPr>
        <w:t>；栽植穴先回填表土2</w:t>
      </w:r>
      <w:r>
        <w:rPr>
          <w:color w:val="auto"/>
        </w:rPr>
        <w:t>0cm</w:t>
      </w:r>
      <w:r>
        <w:rPr>
          <w:rFonts w:hint="eastAsia"/>
          <w:color w:val="auto"/>
        </w:rPr>
        <w:t>，然后每穴施有机肥1</w:t>
      </w:r>
      <w:r>
        <w:rPr>
          <w:color w:val="auto"/>
        </w:rPr>
        <w:t>0kg</w:t>
      </w:r>
      <w:r>
        <w:rPr>
          <w:rFonts w:hint="eastAsia"/>
          <w:color w:val="auto"/>
        </w:rPr>
        <w:t>、钙镁磷肥1kg、生石灰0.5kg，再回填土并将行间表土推往栽植穴，栽植穴位置形成高于地面2</w:t>
      </w:r>
      <w:r>
        <w:rPr>
          <w:color w:val="auto"/>
        </w:rPr>
        <w:t>0cm</w:t>
      </w:r>
      <w:r>
        <w:rPr>
          <w:rFonts w:hint="eastAsia"/>
          <w:color w:val="auto"/>
        </w:rPr>
        <w:t>～</w:t>
      </w:r>
      <w:r>
        <w:rPr>
          <w:color w:val="auto"/>
        </w:rPr>
        <w:t>30cm</w:t>
      </w:r>
      <w:r>
        <w:rPr>
          <w:rFonts w:hint="eastAsia"/>
          <w:color w:val="auto"/>
        </w:rPr>
        <w:t>土堆。</w:t>
      </w:r>
    </w:p>
    <w:p w14:paraId="16EF59BA">
      <w:pPr>
        <w:pStyle w:val="79"/>
        <w:numPr>
          <w:ilvl w:val="4"/>
          <w:numId w:val="0"/>
        </w:numPr>
        <w:ind w:left="0" w:leftChars="0" w:firstLine="0" w:firstLineChars="0"/>
        <w:rPr>
          <w:rFonts w:hint="default" w:eastAsia="宋体"/>
          <w:color w:val="auto"/>
          <w:lang w:val="en-US" w:eastAsia="zh-CN"/>
        </w:rPr>
      </w:pPr>
      <w:r>
        <w:rPr>
          <w:rFonts w:hint="eastAsia" w:ascii="黑体" w:hAnsi="Times New Roman" w:eastAsia="黑体"/>
          <w:b w:val="0"/>
          <w:i w:val="0"/>
          <w:color w:val="auto"/>
          <w:kern w:val="21"/>
          <w:sz w:val="21"/>
          <w:szCs w:val="21"/>
          <w:lang w:val="en-US" w:eastAsia="zh-CN" w:bidi="ar-SA"/>
        </w:rPr>
        <w:t xml:space="preserve">B.3.1.2.4  </w:t>
      </w:r>
      <w:r>
        <w:rPr>
          <w:rFonts w:hint="eastAsia" w:hAnsi="Times New Roman" w:cs="Times New Roman"/>
          <w:color w:val="auto"/>
          <w:lang w:val="en-US" w:eastAsia="zh-CN"/>
        </w:rPr>
        <w:t>起垄：按设置行向，先标线，机械开沟，沟深20cm</w:t>
      </w:r>
      <w:r>
        <w:rPr>
          <w:rFonts w:hint="eastAsia" w:hAnsi="Times New Roman" w:cs="Times New Roman"/>
          <w:color w:val="auto"/>
        </w:rPr>
        <w:t>～</w:t>
      </w:r>
      <w:r>
        <w:rPr>
          <w:rFonts w:hint="eastAsia" w:hAnsi="Times New Roman" w:cs="Times New Roman"/>
          <w:color w:val="auto"/>
          <w:lang w:val="en-US" w:eastAsia="zh-CN"/>
        </w:rPr>
        <w:t>25cm,</w:t>
      </w:r>
      <w:r>
        <w:rPr>
          <w:rFonts w:hint="eastAsia"/>
          <w:color w:val="auto"/>
          <w:lang w:val="en-US" w:eastAsia="zh-CN"/>
        </w:rPr>
        <w:t>宽度50cm</w:t>
      </w:r>
      <w:r>
        <w:rPr>
          <w:rFonts w:hint="eastAsia"/>
          <w:color w:val="auto"/>
        </w:rPr>
        <w:t>～</w:t>
      </w:r>
      <w:r>
        <w:rPr>
          <w:rFonts w:hint="eastAsia"/>
          <w:color w:val="auto"/>
          <w:lang w:val="en-US" w:eastAsia="zh-CN"/>
        </w:rPr>
        <w:t>60cm；按每667㎡有机肥2.5t</w:t>
      </w:r>
      <w:r>
        <w:rPr>
          <w:rFonts w:hint="eastAsia"/>
          <w:color w:val="auto"/>
        </w:rPr>
        <w:t>～</w:t>
      </w:r>
      <w:r>
        <w:rPr>
          <w:rFonts w:hint="eastAsia"/>
          <w:color w:val="auto"/>
          <w:lang w:val="en-US" w:eastAsia="zh-CN"/>
        </w:rPr>
        <w:t>3t，再使用起垄机（或挖机）起垄，反复一次，形成高40cm</w:t>
      </w:r>
      <w:r>
        <w:rPr>
          <w:rFonts w:hint="eastAsia"/>
          <w:color w:val="auto"/>
        </w:rPr>
        <w:t>～</w:t>
      </w:r>
      <w:r>
        <w:rPr>
          <w:rFonts w:hint="eastAsia"/>
          <w:color w:val="auto"/>
          <w:lang w:val="en-US" w:eastAsia="zh-CN"/>
        </w:rPr>
        <w:t>45cm、宽100cm</w:t>
      </w:r>
      <w:r>
        <w:rPr>
          <w:rFonts w:hint="eastAsia"/>
          <w:color w:val="auto"/>
        </w:rPr>
        <w:t>～</w:t>
      </w:r>
      <w:r>
        <w:rPr>
          <w:rFonts w:hint="eastAsia"/>
          <w:color w:val="auto"/>
          <w:lang w:val="en-US" w:eastAsia="zh-CN"/>
        </w:rPr>
        <w:t>110cm的垄。</w:t>
      </w:r>
    </w:p>
    <w:p w14:paraId="4601911F">
      <w:pPr>
        <w:pStyle w:val="68"/>
        <w:numPr>
          <w:ilvl w:val="2"/>
          <w:numId w:val="0"/>
        </w:numPr>
        <w:spacing w:before="156" w:after="156"/>
        <w:ind w:left="0" w:leftChars="0" w:firstLine="0" w:firstLineChars="0"/>
        <w:rPr>
          <w:color w:val="auto"/>
        </w:rPr>
      </w:pPr>
      <w:r>
        <w:rPr>
          <w:rFonts w:hint="eastAsia" w:ascii="黑体" w:hAnsi="Times New Roman" w:eastAsia="黑体"/>
          <w:b w:val="0"/>
          <w:i w:val="0"/>
          <w:color w:val="auto"/>
          <w:kern w:val="21"/>
          <w:sz w:val="21"/>
          <w:lang w:val="en-US" w:eastAsia="zh-CN" w:bidi="ar-SA"/>
        </w:rPr>
        <w:t>B.3.2　</w:t>
      </w:r>
      <w:r>
        <w:rPr>
          <w:rFonts w:hint="eastAsia"/>
          <w:color w:val="auto"/>
        </w:rPr>
        <w:t>定植</w:t>
      </w:r>
    </w:p>
    <w:p w14:paraId="4A398A58">
      <w:pPr>
        <w:pStyle w:val="59"/>
        <w:numPr>
          <w:ilvl w:val="3"/>
          <w:numId w:val="0"/>
        </w:numPr>
        <w:spacing w:before="156" w:after="156"/>
        <w:ind w:left="0" w:leftChars="0" w:firstLine="0" w:firstLineChars="0"/>
        <w:rPr>
          <w:color w:val="auto"/>
        </w:rPr>
      </w:pPr>
      <w:r>
        <w:rPr>
          <w:rFonts w:hint="eastAsia" w:ascii="黑体" w:hAnsi="Times New Roman" w:eastAsia="黑体"/>
          <w:b w:val="0"/>
          <w:i w:val="0"/>
          <w:color w:val="auto"/>
          <w:kern w:val="21"/>
          <w:sz w:val="21"/>
          <w:szCs w:val="20"/>
          <w:lang w:val="en-US" w:eastAsia="zh-CN" w:bidi="ar-SA"/>
        </w:rPr>
        <w:t>B.3.2.1　</w:t>
      </w:r>
      <w:r>
        <w:rPr>
          <w:rFonts w:hint="eastAsia"/>
          <w:color w:val="auto"/>
        </w:rPr>
        <w:t>种植时间</w:t>
      </w:r>
    </w:p>
    <w:p w14:paraId="02D50744">
      <w:pPr>
        <w:pStyle w:val="23"/>
        <w:rPr>
          <w:color w:val="auto"/>
        </w:rPr>
      </w:pPr>
      <w:r>
        <w:rPr>
          <w:rFonts w:hint="eastAsia"/>
          <w:color w:val="auto"/>
        </w:rPr>
        <w:t>2月中旬</w:t>
      </w:r>
      <w:r>
        <w:rPr>
          <w:rFonts w:hint="eastAsia" w:hAnsi="宋体"/>
          <w:color w:val="auto"/>
        </w:rPr>
        <w:t>～</w:t>
      </w:r>
      <w:r>
        <w:rPr>
          <w:rFonts w:hint="eastAsia"/>
          <w:color w:val="auto"/>
        </w:rPr>
        <w:t>3月上旬或10月下旬～11月上旬或者进行移栽，宜选阴天定植。</w:t>
      </w:r>
    </w:p>
    <w:p w14:paraId="31B0C617">
      <w:pPr>
        <w:pStyle w:val="59"/>
        <w:numPr>
          <w:ilvl w:val="3"/>
          <w:numId w:val="0"/>
        </w:numPr>
        <w:spacing w:before="156" w:after="156"/>
        <w:ind w:left="0" w:leftChars="0" w:firstLine="0" w:firstLineChars="0"/>
        <w:rPr>
          <w:rFonts w:hint="eastAsia"/>
          <w:color w:val="auto"/>
        </w:rPr>
      </w:pPr>
      <w:r>
        <w:rPr>
          <w:rFonts w:hint="eastAsia" w:ascii="黑体" w:hAnsi="Times New Roman" w:eastAsia="黑体"/>
          <w:b w:val="0"/>
          <w:i w:val="0"/>
          <w:color w:val="auto"/>
          <w:kern w:val="21"/>
          <w:sz w:val="21"/>
          <w:szCs w:val="20"/>
          <w:lang w:val="en-US" w:eastAsia="zh-CN" w:bidi="ar-SA"/>
        </w:rPr>
        <w:t>B.3.2.2　</w:t>
      </w:r>
      <w:r>
        <w:rPr>
          <w:rFonts w:hint="eastAsia"/>
          <w:color w:val="auto"/>
        </w:rPr>
        <w:t>种植方法</w:t>
      </w:r>
    </w:p>
    <w:p w14:paraId="1BD54EAF">
      <w:pPr>
        <w:pStyle w:val="23"/>
        <w:ind w:left="0" w:leftChars="0" w:firstLine="0" w:firstLineChars="0"/>
        <w:rPr>
          <w:rFonts w:hint="eastAsia"/>
          <w:color w:val="auto"/>
        </w:rPr>
      </w:pPr>
      <w:r>
        <w:rPr>
          <w:rFonts w:hint="eastAsia" w:ascii="黑体" w:hAnsi="Times New Roman" w:eastAsia="黑体"/>
          <w:b w:val="0"/>
          <w:i w:val="0"/>
          <w:color w:val="auto"/>
          <w:kern w:val="21"/>
          <w:sz w:val="21"/>
          <w:szCs w:val="20"/>
          <w:lang w:val="en-US" w:eastAsia="zh-CN" w:bidi="ar-SA"/>
        </w:rPr>
        <w:t xml:space="preserve">B.3.2.2.1  </w:t>
      </w:r>
      <w:r>
        <w:rPr>
          <w:rFonts w:hint="eastAsia" w:hAnsi="Times New Roman" w:eastAsia="宋体" w:cs="Times New Roman"/>
          <w:color w:val="auto"/>
          <w:lang w:val="en-US" w:eastAsia="zh-CN"/>
        </w:rPr>
        <w:t>常规苗定植：起苗后苗木用钙镁磷肥拌黄泥浆沾根，</w:t>
      </w:r>
      <w:r>
        <w:rPr>
          <w:rFonts w:hint="eastAsia" w:hAnsi="Times New Roman" w:eastAsia="宋体" w:cs="Times New Roman"/>
          <w:color w:val="auto"/>
        </w:rPr>
        <w:t>也可在</w:t>
      </w:r>
      <w:r>
        <w:rPr>
          <w:rFonts w:hint="eastAsia"/>
          <w:color w:val="auto"/>
        </w:rPr>
        <w:t>调泥浆时用生根粉溶液。移栽时将苗木扶正栽入穴内，当填土至一半时，将幼苗轻轻往上一提然后填土至满穴，用脚踏实，浇透定根水，表面再覆盖松土。</w:t>
      </w:r>
    </w:p>
    <w:p w14:paraId="70D5680B">
      <w:pPr>
        <w:pStyle w:val="23"/>
        <w:ind w:left="0" w:leftChars="0" w:firstLine="0" w:firstLineChars="0"/>
        <w:rPr>
          <w:rFonts w:hint="default" w:ascii="黑体" w:hAnsi="Times New Roman" w:eastAsia="黑体"/>
          <w:b w:val="0"/>
          <w:i w:val="0"/>
          <w:snapToGrid/>
          <w:color w:val="auto"/>
          <w:spacing w:val="0"/>
          <w:w w:val="100"/>
          <w:kern w:val="21"/>
          <w:sz w:val="21"/>
          <w:lang w:val="en-US" w:eastAsia="zh-CN" w:bidi="ar-SA"/>
        </w:rPr>
      </w:pPr>
      <w:r>
        <w:rPr>
          <w:rFonts w:hint="eastAsia" w:ascii="黑体" w:hAnsi="Times New Roman" w:eastAsia="黑体"/>
          <w:b w:val="0"/>
          <w:i w:val="0"/>
          <w:color w:val="auto"/>
          <w:kern w:val="21"/>
          <w:sz w:val="21"/>
          <w:szCs w:val="20"/>
          <w:lang w:val="en-US" w:eastAsia="zh-CN" w:bidi="ar-SA"/>
        </w:rPr>
        <w:t xml:space="preserve">B.3.2.2.1  </w:t>
      </w:r>
      <w:r>
        <w:rPr>
          <w:rFonts w:hint="eastAsia" w:hAnsi="Times New Roman" w:eastAsia="宋体" w:cs="Times New Roman"/>
          <w:color w:val="auto"/>
          <w:lang w:val="en-US" w:eastAsia="zh-CN"/>
        </w:rPr>
        <w:t>容器苗定植：先将外袋脱离，</w:t>
      </w:r>
      <w:r>
        <w:rPr>
          <w:rFonts w:hint="eastAsia" w:cs="Times New Roman"/>
          <w:color w:val="auto"/>
          <w:lang w:val="en-US" w:eastAsia="zh-CN"/>
        </w:rPr>
        <w:t>再</w:t>
      </w:r>
      <w:r>
        <w:rPr>
          <w:rFonts w:hint="eastAsia" w:hAnsi="Times New Roman" w:eastAsia="宋体" w:cs="Times New Roman"/>
          <w:color w:val="auto"/>
          <w:lang w:val="en-US" w:eastAsia="zh-CN"/>
        </w:rPr>
        <w:t>带土移栽，覆土，适当压实土团周边松土。</w:t>
      </w:r>
    </w:p>
    <w:p w14:paraId="52C2B000">
      <w:pPr>
        <w:pStyle w:val="23"/>
        <w:ind w:left="0" w:leftChars="0" w:firstLine="0" w:firstLineChars="0"/>
        <w:rPr>
          <w:rFonts w:hint="eastAsia" w:ascii="黑体" w:hAnsi="Times New Roman" w:eastAsia="黑体"/>
          <w:b w:val="0"/>
          <w:i w:val="0"/>
          <w:snapToGrid/>
          <w:color w:val="auto"/>
          <w:spacing w:val="0"/>
          <w:w w:val="100"/>
          <w:kern w:val="21"/>
          <w:sz w:val="21"/>
          <w:lang w:val="en-US" w:eastAsia="zh-CN" w:bidi="ar-SA"/>
        </w:rPr>
      </w:pPr>
    </w:p>
    <w:p w14:paraId="6EAA28EA">
      <w:pPr>
        <w:pStyle w:val="59"/>
        <w:numPr>
          <w:ilvl w:val="3"/>
          <w:numId w:val="0"/>
        </w:numPr>
        <w:spacing w:before="156" w:after="156"/>
        <w:ind w:left="0" w:leftChars="0" w:firstLine="0" w:firstLineChars="0"/>
        <w:rPr>
          <w:rFonts w:hint="eastAsia" w:ascii="黑体" w:hAnsi="Times New Roman" w:eastAsia="黑体" w:cs="Times New Roman"/>
          <w:b w:val="0"/>
          <w:i w:val="0"/>
          <w:color w:val="auto"/>
          <w:kern w:val="21"/>
          <w:sz w:val="21"/>
          <w:szCs w:val="20"/>
          <w:lang w:val="en-US" w:eastAsia="zh-CN" w:bidi="ar-SA"/>
        </w:rPr>
      </w:pPr>
      <w:r>
        <w:rPr>
          <w:rFonts w:hint="eastAsia" w:ascii="黑体" w:hAnsi="Times New Roman" w:eastAsia="黑体" w:cs="Times New Roman"/>
          <w:b w:val="0"/>
          <w:i w:val="0"/>
          <w:color w:val="auto"/>
          <w:kern w:val="21"/>
          <w:sz w:val="21"/>
          <w:szCs w:val="20"/>
          <w:lang w:val="en-US" w:eastAsia="zh-CN" w:bidi="ar-SA"/>
        </w:rPr>
        <w:t>B.4　田间管理</w:t>
      </w:r>
    </w:p>
    <w:p w14:paraId="0B383A47">
      <w:pPr>
        <w:pStyle w:val="59"/>
        <w:numPr>
          <w:ilvl w:val="3"/>
          <w:numId w:val="0"/>
        </w:numPr>
        <w:spacing w:before="156" w:after="156"/>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按DB36/T 1267有关规定执行，并补充以下要求：</w:t>
      </w:r>
    </w:p>
    <w:p w14:paraId="7D13CF37">
      <w:pPr>
        <w:pStyle w:val="23"/>
        <w:rPr>
          <w:rFonts w:hint="eastAsia" w:hAnsi="宋体"/>
          <w:color w:val="auto"/>
          <w:lang w:val="en-US" w:eastAsia="zh-CN"/>
        </w:rPr>
      </w:pPr>
      <w:r>
        <w:rPr>
          <w:rFonts w:hint="eastAsia"/>
          <w:color w:val="auto"/>
          <w:lang w:val="en-US" w:eastAsia="zh-CN"/>
        </w:rPr>
        <w:t>——幼苗树修剪：2年</w:t>
      </w:r>
      <w:r>
        <w:rPr>
          <w:rFonts w:hint="eastAsia" w:hAnsi="宋体"/>
          <w:color w:val="auto"/>
        </w:rPr>
        <w:t>～</w:t>
      </w:r>
      <w:r>
        <w:rPr>
          <w:rFonts w:hint="eastAsia" w:hAnsi="宋体"/>
          <w:color w:val="auto"/>
          <w:lang w:val="en-US" w:eastAsia="zh-CN"/>
        </w:rPr>
        <w:t>4年生树，在剪除下垂枝前抬高裙枝；</w:t>
      </w:r>
    </w:p>
    <w:p w14:paraId="35C5D4C6">
      <w:pPr>
        <w:pStyle w:val="23"/>
        <w:ind w:left="840" w:leftChars="200" w:hanging="420" w:hangingChars="200"/>
        <w:rPr>
          <w:rFonts w:hint="default" w:hAnsi="宋体"/>
          <w:color w:val="auto"/>
          <w:lang w:val="en-US" w:eastAsia="zh-CN"/>
        </w:rPr>
      </w:pPr>
      <w:r>
        <w:rPr>
          <w:rFonts w:hint="eastAsia" w:hAnsi="宋体"/>
          <w:color w:val="auto"/>
          <w:lang w:val="en-US" w:eastAsia="zh-CN"/>
        </w:rPr>
        <w:t>——防寒防冻：入冬前施冬肥，培土壅蔸，树干以刷白剂刷白。刷白剂配制可用10kg清水加5kg生石灰充分融化，并搅拌均匀，加入波美度为11度的石硫合剂1kg，再加入各0.5kg的食盐和植物油，充分搅拌均匀。</w:t>
      </w:r>
    </w:p>
    <w:p w14:paraId="1CAC1C0F">
      <w:pPr>
        <w:pStyle w:val="69"/>
        <w:numPr>
          <w:ilvl w:val="1"/>
          <w:numId w:val="0"/>
        </w:numPr>
        <w:spacing w:before="312" w:after="312"/>
        <w:ind w:left="0" w:leftChars="0" w:firstLine="0" w:firstLineChars="0"/>
        <w:rPr>
          <w:color w:val="auto"/>
        </w:rPr>
      </w:pPr>
      <w:r>
        <w:rPr>
          <w:rFonts w:hint="eastAsia" w:ascii="黑体" w:hAnsi="Times New Roman" w:eastAsia="黑体"/>
          <w:b w:val="0"/>
          <w:i w:val="0"/>
          <w:snapToGrid/>
          <w:color w:val="auto"/>
          <w:spacing w:val="0"/>
          <w:w w:val="100"/>
          <w:kern w:val="21"/>
          <w:sz w:val="21"/>
          <w:lang w:val="en-US" w:eastAsia="zh-CN" w:bidi="ar-SA"/>
        </w:rPr>
        <w:t>B.5　</w:t>
      </w:r>
      <w:r>
        <w:rPr>
          <w:rFonts w:hint="eastAsia"/>
          <w:color w:val="auto"/>
        </w:rPr>
        <w:t>病虫害防治</w:t>
      </w:r>
    </w:p>
    <w:p w14:paraId="2251C15F">
      <w:pPr>
        <w:pStyle w:val="68"/>
        <w:numPr>
          <w:ilvl w:val="2"/>
          <w:numId w:val="0"/>
        </w:numPr>
        <w:spacing w:before="156" w:after="156"/>
        <w:ind w:left="0" w:leftChars="0" w:firstLine="420" w:firstLineChars="200"/>
        <w:rPr>
          <w:rFonts w:hint="eastAsia" w:ascii="宋体" w:hAnsi="宋体" w:eastAsia="宋体" w:cs="Times New Roman"/>
          <w:color w:val="auto"/>
          <w:sz w:val="21"/>
          <w:lang w:val="en-US" w:eastAsia="zh-CN" w:bidi="ar-SA"/>
        </w:rPr>
      </w:pPr>
      <w:r>
        <w:rPr>
          <w:rFonts w:hint="eastAsia" w:ascii="宋体" w:hAnsi="宋体" w:eastAsia="宋体" w:cs="Times New Roman"/>
          <w:color w:val="auto"/>
          <w:sz w:val="21"/>
          <w:lang w:val="en-US" w:eastAsia="zh-CN" w:bidi="ar-SA"/>
        </w:rPr>
        <w:t>主要病虫害的防止防止方法见下表</w:t>
      </w:r>
    </w:p>
    <w:p w14:paraId="6EBE5F2F">
      <w:pPr>
        <w:pStyle w:val="125"/>
        <w:numPr>
          <w:ilvl w:val="1"/>
          <w:numId w:val="0"/>
        </w:numPr>
        <w:spacing w:before="156" w:after="156"/>
        <w:ind w:left="567" w:leftChars="0" w:hanging="567" w:firstLineChars="0"/>
        <w:rPr>
          <w:rFonts w:hint="eastAsia"/>
          <w:color w:val="auto"/>
        </w:rPr>
      </w:pPr>
      <w:r>
        <w:rPr>
          <w:rFonts w:hint="eastAsia" w:ascii="黑体" w:eastAsia="黑体"/>
          <w:color w:val="auto"/>
          <w:kern w:val="2"/>
          <w:sz w:val="21"/>
          <w:szCs w:val="21"/>
          <w:lang w:val="en-US" w:eastAsia="zh-CN" w:bidi="ar-SA"/>
        </w:rPr>
        <w:t>表</w:t>
      </w:r>
      <w:r>
        <w:rPr>
          <w:rFonts w:hint="eastAsia"/>
          <w:color w:val="auto"/>
          <w:kern w:val="2"/>
          <w:sz w:val="21"/>
          <w:szCs w:val="21"/>
          <w:lang w:val="en-US" w:eastAsia="zh-CN" w:bidi="ar-SA"/>
        </w:rPr>
        <w:t>B</w:t>
      </w:r>
      <w:r>
        <w:rPr>
          <w:rFonts w:hint="eastAsia" w:ascii="黑体" w:eastAsia="黑体"/>
          <w:color w:val="auto"/>
          <w:kern w:val="2"/>
          <w:sz w:val="21"/>
          <w:szCs w:val="21"/>
          <w:lang w:val="en-US" w:eastAsia="zh-CN" w:bidi="ar-SA"/>
        </w:rPr>
        <w:t>.2　</w:t>
      </w:r>
      <w:r>
        <w:rPr>
          <w:rFonts w:hint="eastAsia"/>
          <w:color w:val="auto"/>
        </w:rPr>
        <w:t>主要病虫害防治方法</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3261"/>
        <w:gridCol w:w="4501"/>
      </w:tblGrid>
      <w:tr w14:paraId="36B76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6B5CD206">
            <w:pPr>
              <w:pStyle w:val="23"/>
              <w:ind w:firstLine="0" w:firstLineChars="0"/>
              <w:jc w:val="center"/>
              <w:rPr>
                <w:rFonts w:hint="eastAsia" w:eastAsia="宋体"/>
                <w:color w:val="auto"/>
                <w:sz w:val="18"/>
                <w:szCs w:val="18"/>
                <w:lang w:eastAsia="zh-CN"/>
              </w:rPr>
            </w:pPr>
            <w:r>
              <w:rPr>
                <w:rFonts w:hint="eastAsia"/>
                <w:color w:val="auto"/>
                <w:sz w:val="18"/>
                <w:szCs w:val="18"/>
                <w:lang w:eastAsia="zh-CN"/>
              </w:rPr>
              <w:t>病虫害名称</w:t>
            </w:r>
          </w:p>
        </w:tc>
        <w:tc>
          <w:tcPr>
            <w:tcW w:w="3261" w:type="dxa"/>
            <w:noWrap w:val="0"/>
            <w:vAlign w:val="center"/>
          </w:tcPr>
          <w:p w14:paraId="2D48A8EB">
            <w:pPr>
              <w:pStyle w:val="23"/>
              <w:ind w:firstLine="0" w:firstLineChars="0"/>
              <w:jc w:val="center"/>
              <w:rPr>
                <w:rFonts w:hint="eastAsia" w:eastAsia="宋体"/>
                <w:color w:val="auto"/>
                <w:sz w:val="18"/>
                <w:szCs w:val="18"/>
                <w:lang w:eastAsia="zh-CN"/>
              </w:rPr>
            </w:pPr>
            <w:r>
              <w:rPr>
                <w:rFonts w:hint="eastAsia"/>
                <w:color w:val="auto"/>
                <w:sz w:val="18"/>
                <w:szCs w:val="18"/>
                <w:lang w:eastAsia="zh-CN"/>
              </w:rPr>
              <w:t>危害的症状</w:t>
            </w:r>
          </w:p>
        </w:tc>
        <w:tc>
          <w:tcPr>
            <w:tcW w:w="4501" w:type="dxa"/>
            <w:noWrap w:val="0"/>
            <w:vAlign w:val="center"/>
          </w:tcPr>
          <w:p w14:paraId="45ACFB2F">
            <w:pPr>
              <w:pStyle w:val="23"/>
              <w:ind w:firstLine="0" w:firstLineChars="0"/>
              <w:jc w:val="center"/>
              <w:rPr>
                <w:rFonts w:hint="eastAsia" w:eastAsia="宋体"/>
                <w:color w:val="auto"/>
                <w:sz w:val="18"/>
                <w:szCs w:val="18"/>
                <w:lang w:eastAsia="zh-CN"/>
              </w:rPr>
            </w:pPr>
            <w:r>
              <w:rPr>
                <w:rFonts w:hint="eastAsia"/>
                <w:color w:val="auto"/>
                <w:sz w:val="18"/>
                <w:szCs w:val="18"/>
                <w:lang w:eastAsia="zh-CN"/>
              </w:rPr>
              <w:t>防治方法</w:t>
            </w:r>
          </w:p>
        </w:tc>
      </w:tr>
      <w:tr w14:paraId="5FC88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44836463">
            <w:pPr>
              <w:pStyle w:val="23"/>
              <w:ind w:firstLine="0" w:firstLineChars="0"/>
              <w:jc w:val="left"/>
              <w:rPr>
                <w:rFonts w:hint="eastAsia"/>
                <w:color w:val="auto"/>
                <w:sz w:val="18"/>
                <w:szCs w:val="18"/>
              </w:rPr>
            </w:pPr>
            <w:r>
              <w:rPr>
                <w:rFonts w:hint="eastAsia"/>
                <w:color w:val="auto"/>
                <w:sz w:val="18"/>
                <w:szCs w:val="18"/>
              </w:rPr>
              <w:t>溃疡病</w:t>
            </w:r>
          </w:p>
        </w:tc>
        <w:tc>
          <w:tcPr>
            <w:tcW w:w="3261" w:type="dxa"/>
            <w:noWrap w:val="0"/>
            <w:vAlign w:val="center"/>
          </w:tcPr>
          <w:p w14:paraId="699C4CF8">
            <w:pPr>
              <w:pStyle w:val="23"/>
              <w:ind w:firstLine="0" w:firstLineChars="0"/>
              <w:jc w:val="left"/>
              <w:rPr>
                <w:rFonts w:hint="eastAsia"/>
                <w:color w:val="auto"/>
                <w:sz w:val="18"/>
                <w:szCs w:val="18"/>
              </w:rPr>
            </w:pPr>
            <w:r>
              <w:rPr>
                <w:rFonts w:hint="eastAsia"/>
                <w:color w:val="auto"/>
                <w:sz w:val="18"/>
                <w:szCs w:val="18"/>
              </w:rPr>
              <w:t>侵害嫩叶、幼果和新梢。</w:t>
            </w:r>
          </w:p>
        </w:tc>
        <w:tc>
          <w:tcPr>
            <w:tcW w:w="4501" w:type="dxa"/>
            <w:noWrap w:val="0"/>
            <w:vAlign w:val="center"/>
          </w:tcPr>
          <w:p w14:paraId="2964B942">
            <w:pPr>
              <w:pStyle w:val="23"/>
              <w:ind w:firstLine="0" w:firstLineChars="0"/>
              <w:jc w:val="left"/>
              <w:rPr>
                <w:color w:val="auto"/>
                <w:sz w:val="18"/>
                <w:szCs w:val="18"/>
              </w:rPr>
            </w:pPr>
            <w:r>
              <w:rPr>
                <w:rFonts w:hint="eastAsia"/>
                <w:color w:val="auto"/>
                <w:sz w:val="18"/>
                <w:szCs w:val="18"/>
              </w:rPr>
              <w:t>①严格检疫，先用无病苗木栽植；</w:t>
            </w:r>
          </w:p>
          <w:p w14:paraId="6D4DDDAE">
            <w:pPr>
              <w:pStyle w:val="23"/>
              <w:ind w:firstLine="0" w:firstLineChars="0"/>
              <w:jc w:val="left"/>
              <w:rPr>
                <w:color w:val="auto"/>
                <w:sz w:val="18"/>
                <w:szCs w:val="18"/>
              </w:rPr>
            </w:pPr>
            <w:r>
              <w:rPr>
                <w:rFonts w:hint="eastAsia"/>
                <w:color w:val="auto"/>
                <w:sz w:val="18"/>
                <w:szCs w:val="18"/>
              </w:rPr>
              <w:t>②合理修剪，剪除病枝、病叶并清理；</w:t>
            </w:r>
          </w:p>
          <w:p w14:paraId="799F7BE7">
            <w:pPr>
              <w:pStyle w:val="23"/>
              <w:ind w:firstLine="0" w:firstLineChars="0"/>
              <w:jc w:val="left"/>
              <w:rPr>
                <w:color w:val="auto"/>
                <w:sz w:val="18"/>
                <w:szCs w:val="18"/>
              </w:rPr>
            </w:pPr>
            <w:r>
              <w:rPr>
                <w:rFonts w:hint="eastAsia"/>
                <w:color w:val="auto"/>
                <w:sz w:val="18"/>
                <w:szCs w:val="18"/>
              </w:rPr>
              <w:t>③抽春梢或花蕾将现白时，以及谢花后，喷</w:t>
            </w:r>
            <w:r>
              <w:rPr>
                <w:color w:val="auto"/>
                <w:sz w:val="18"/>
                <w:szCs w:val="18"/>
              </w:rPr>
              <w:t>1</w:t>
            </w:r>
            <w:r>
              <w:rPr>
                <w:rFonts w:hint="eastAsia"/>
                <w:color w:val="auto"/>
                <w:sz w:val="18"/>
                <w:szCs w:val="18"/>
              </w:rPr>
              <w:t>：1：</w:t>
            </w:r>
            <w:r>
              <w:rPr>
                <w:color w:val="auto"/>
                <w:sz w:val="18"/>
                <w:szCs w:val="18"/>
              </w:rPr>
              <w:t>200</w:t>
            </w:r>
            <w:r>
              <w:rPr>
                <w:rFonts w:hint="eastAsia"/>
                <w:color w:val="auto"/>
                <w:sz w:val="18"/>
                <w:szCs w:val="18"/>
              </w:rPr>
              <w:t>波尔多液，每隔7d一次，连续喷2次</w:t>
            </w:r>
            <w:r>
              <w:rPr>
                <w:rFonts w:hint="eastAsia" w:hAnsi="宋体"/>
                <w:color w:val="auto"/>
                <w:sz w:val="18"/>
                <w:szCs w:val="18"/>
              </w:rPr>
              <w:t>～</w:t>
            </w:r>
            <w:r>
              <w:rPr>
                <w:color w:val="auto"/>
                <w:sz w:val="18"/>
                <w:szCs w:val="18"/>
              </w:rPr>
              <w:t>3</w:t>
            </w:r>
            <w:r>
              <w:rPr>
                <w:rFonts w:hint="eastAsia"/>
                <w:color w:val="auto"/>
                <w:sz w:val="18"/>
                <w:szCs w:val="18"/>
              </w:rPr>
              <w:t>次；</w:t>
            </w:r>
          </w:p>
          <w:p w14:paraId="5C4E15B4">
            <w:pPr>
              <w:pStyle w:val="23"/>
              <w:ind w:firstLine="0" w:firstLineChars="0"/>
              <w:jc w:val="left"/>
              <w:rPr>
                <w:rFonts w:hint="eastAsia"/>
                <w:color w:val="auto"/>
                <w:sz w:val="18"/>
                <w:szCs w:val="18"/>
              </w:rPr>
            </w:pPr>
            <w:r>
              <w:rPr>
                <w:rFonts w:hint="eastAsia"/>
                <w:color w:val="auto"/>
                <w:sz w:val="18"/>
                <w:szCs w:val="18"/>
              </w:rPr>
              <w:t>④冬季至早春喷波美2度石硫合剂1次</w:t>
            </w:r>
            <w:r>
              <w:rPr>
                <w:rFonts w:hint="eastAsia" w:hAnsi="宋体"/>
                <w:color w:val="auto"/>
                <w:sz w:val="18"/>
                <w:szCs w:val="18"/>
              </w:rPr>
              <w:t>～</w:t>
            </w:r>
            <w:r>
              <w:rPr>
                <w:color w:val="auto"/>
                <w:sz w:val="18"/>
                <w:szCs w:val="18"/>
              </w:rPr>
              <w:t>2</w:t>
            </w:r>
            <w:r>
              <w:rPr>
                <w:rFonts w:hint="eastAsia"/>
                <w:color w:val="auto"/>
                <w:sz w:val="18"/>
                <w:szCs w:val="18"/>
              </w:rPr>
              <w:t>次。</w:t>
            </w:r>
          </w:p>
        </w:tc>
      </w:tr>
      <w:tr w14:paraId="66E29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2AE4DCDB">
            <w:pPr>
              <w:pStyle w:val="23"/>
              <w:ind w:firstLine="0" w:firstLineChars="0"/>
              <w:jc w:val="left"/>
              <w:rPr>
                <w:rFonts w:hint="eastAsia"/>
                <w:color w:val="auto"/>
                <w:sz w:val="18"/>
                <w:szCs w:val="18"/>
              </w:rPr>
            </w:pPr>
            <w:r>
              <w:rPr>
                <w:rFonts w:hint="eastAsia"/>
                <w:color w:val="auto"/>
                <w:sz w:val="18"/>
                <w:szCs w:val="18"/>
              </w:rPr>
              <w:t>树脂病</w:t>
            </w:r>
          </w:p>
        </w:tc>
        <w:tc>
          <w:tcPr>
            <w:tcW w:w="3261" w:type="dxa"/>
            <w:noWrap w:val="0"/>
            <w:vAlign w:val="center"/>
          </w:tcPr>
          <w:p w14:paraId="49D40F46">
            <w:pPr>
              <w:pStyle w:val="23"/>
              <w:ind w:firstLine="0" w:firstLineChars="0"/>
              <w:jc w:val="left"/>
              <w:rPr>
                <w:rFonts w:hint="eastAsia"/>
                <w:color w:val="auto"/>
                <w:sz w:val="18"/>
                <w:szCs w:val="18"/>
              </w:rPr>
            </w:pPr>
            <w:r>
              <w:rPr>
                <w:rFonts w:hint="eastAsia"/>
                <w:color w:val="auto"/>
                <w:sz w:val="18"/>
                <w:szCs w:val="18"/>
              </w:rPr>
              <w:t>危害枝叶、果实。</w:t>
            </w:r>
          </w:p>
        </w:tc>
        <w:tc>
          <w:tcPr>
            <w:tcW w:w="4501" w:type="dxa"/>
            <w:noWrap w:val="0"/>
            <w:vAlign w:val="center"/>
          </w:tcPr>
          <w:p w14:paraId="1AB4FA84">
            <w:pPr>
              <w:pStyle w:val="23"/>
              <w:ind w:firstLine="0" w:firstLineChars="0"/>
              <w:jc w:val="left"/>
              <w:rPr>
                <w:color w:val="auto"/>
                <w:sz w:val="18"/>
                <w:szCs w:val="18"/>
              </w:rPr>
            </w:pPr>
            <w:r>
              <w:rPr>
                <w:rFonts w:hint="eastAsia"/>
                <w:color w:val="auto"/>
                <w:sz w:val="18"/>
                <w:szCs w:val="18"/>
              </w:rPr>
              <w:t>①加强园区管理，疏通排水沟，增施追肥，增强树体本身抗病能力；</w:t>
            </w:r>
          </w:p>
          <w:p w14:paraId="3D543082">
            <w:pPr>
              <w:pStyle w:val="23"/>
              <w:ind w:firstLine="0" w:firstLineChars="0"/>
              <w:jc w:val="left"/>
              <w:rPr>
                <w:color w:val="auto"/>
                <w:sz w:val="18"/>
                <w:szCs w:val="18"/>
              </w:rPr>
            </w:pPr>
            <w:r>
              <w:rPr>
                <w:rFonts w:hint="eastAsia"/>
                <w:color w:val="auto"/>
                <w:sz w:val="18"/>
                <w:szCs w:val="18"/>
              </w:rPr>
              <w:t>②冬季采用涂白剂刷树，消除病原菌；</w:t>
            </w:r>
          </w:p>
          <w:p w14:paraId="0B4B04F3">
            <w:pPr>
              <w:pStyle w:val="23"/>
              <w:ind w:firstLine="0" w:firstLineChars="0"/>
              <w:jc w:val="left"/>
              <w:rPr>
                <w:color w:val="auto"/>
                <w:sz w:val="18"/>
                <w:szCs w:val="18"/>
              </w:rPr>
            </w:pPr>
            <w:r>
              <w:rPr>
                <w:rFonts w:hint="eastAsia"/>
                <w:color w:val="auto"/>
                <w:sz w:val="18"/>
                <w:szCs w:val="18"/>
              </w:rPr>
              <w:t>③及时挖掉病株或锯掉枯死病枝并清理；</w:t>
            </w:r>
          </w:p>
          <w:p w14:paraId="6CCA074F">
            <w:pPr>
              <w:pStyle w:val="23"/>
              <w:ind w:firstLine="0" w:firstLineChars="0"/>
              <w:jc w:val="left"/>
              <w:rPr>
                <w:rFonts w:hint="eastAsia"/>
                <w:color w:val="auto"/>
                <w:sz w:val="18"/>
                <w:szCs w:val="18"/>
              </w:rPr>
            </w:pPr>
            <w:r>
              <w:rPr>
                <w:rFonts w:hint="eastAsia"/>
                <w:color w:val="auto"/>
                <w:sz w:val="18"/>
                <w:szCs w:val="18"/>
              </w:rPr>
              <w:t>④在夏、秋季治理患部，刮除病菌直至树干木质部，然后涂上</w:t>
            </w:r>
            <w:r>
              <w:rPr>
                <w:color w:val="auto"/>
                <w:sz w:val="18"/>
                <w:szCs w:val="18"/>
              </w:rPr>
              <w:t>1</w:t>
            </w:r>
            <w:r>
              <w:rPr>
                <w:rFonts w:hint="eastAsia"/>
                <w:color w:val="auto"/>
                <w:sz w:val="18"/>
                <w:szCs w:val="18"/>
              </w:rPr>
              <w:t>：1：100波尔多液防治。</w:t>
            </w:r>
          </w:p>
        </w:tc>
      </w:tr>
    </w:tbl>
    <w:p w14:paraId="268BB955">
      <w:pPr>
        <w:pStyle w:val="23"/>
        <w:rPr>
          <w:color w:val="auto"/>
        </w:rPr>
      </w:pPr>
    </w:p>
    <w:p w14:paraId="29ACF4AA">
      <w:pPr>
        <w:pStyle w:val="23"/>
        <w:ind w:left="0" w:leftChars="0" w:firstLine="0" w:firstLineChars="0"/>
        <w:rPr>
          <w:rFonts w:hint="eastAsia"/>
          <w:color w:val="auto"/>
        </w:rPr>
      </w:pPr>
    </w:p>
    <w:p w14:paraId="277D9CA5">
      <w:pPr>
        <w:pStyle w:val="125"/>
        <w:numPr>
          <w:ilvl w:val="0"/>
          <w:numId w:val="0"/>
        </w:numPr>
        <w:spacing w:before="156" w:after="156"/>
        <w:ind w:left="567" w:hanging="567"/>
        <w:rPr>
          <w:rFonts w:hint="eastAsia"/>
          <w:color w:val="auto"/>
        </w:rPr>
      </w:pPr>
    </w:p>
    <w:p w14:paraId="68CBEC8D">
      <w:pPr>
        <w:pStyle w:val="125"/>
        <w:numPr>
          <w:ilvl w:val="0"/>
          <w:numId w:val="0"/>
        </w:numPr>
        <w:spacing w:before="156" w:after="156"/>
        <w:ind w:left="567" w:hanging="567"/>
        <w:rPr>
          <w:rFonts w:hint="eastAsia"/>
          <w:color w:val="auto"/>
        </w:rPr>
      </w:pPr>
      <w:bookmarkStart w:id="62" w:name="_GoBack"/>
      <w:bookmarkEnd w:id="62"/>
    </w:p>
    <w:p w14:paraId="3B20C492">
      <w:pPr>
        <w:pStyle w:val="125"/>
        <w:numPr>
          <w:ilvl w:val="0"/>
          <w:numId w:val="0"/>
        </w:numPr>
        <w:spacing w:before="156" w:after="156"/>
        <w:ind w:left="567" w:hanging="567"/>
        <w:rPr>
          <w:color w:val="auto"/>
        </w:rPr>
      </w:pPr>
      <w:r>
        <w:rPr>
          <w:rFonts w:hint="eastAsia"/>
          <w:color w:val="auto"/>
        </w:rPr>
        <w:t>表B.2　主要病虫害及防治方法（续上表）</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3261"/>
        <w:gridCol w:w="4501"/>
      </w:tblGrid>
      <w:tr w14:paraId="2F013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1809" w:type="dxa"/>
            <w:noWrap w:val="0"/>
            <w:vAlign w:val="center"/>
          </w:tcPr>
          <w:p w14:paraId="5E1C35F5">
            <w:pPr>
              <w:pStyle w:val="23"/>
              <w:ind w:firstLine="0" w:firstLineChars="0"/>
              <w:jc w:val="center"/>
              <w:rPr>
                <w:rFonts w:hint="eastAsia"/>
                <w:color w:val="auto"/>
                <w:sz w:val="18"/>
                <w:szCs w:val="18"/>
              </w:rPr>
            </w:pPr>
            <w:r>
              <w:rPr>
                <w:rFonts w:hint="eastAsia"/>
                <w:color w:val="auto"/>
                <w:sz w:val="18"/>
                <w:szCs w:val="18"/>
                <w:lang w:eastAsia="zh-CN"/>
              </w:rPr>
              <w:t>病虫害名称</w:t>
            </w:r>
          </w:p>
        </w:tc>
        <w:tc>
          <w:tcPr>
            <w:tcW w:w="3261" w:type="dxa"/>
            <w:noWrap w:val="0"/>
            <w:vAlign w:val="center"/>
          </w:tcPr>
          <w:p w14:paraId="5C0560E8">
            <w:pPr>
              <w:pStyle w:val="23"/>
              <w:ind w:firstLine="0" w:firstLineChars="0"/>
              <w:jc w:val="center"/>
              <w:rPr>
                <w:rFonts w:hint="eastAsia"/>
                <w:color w:val="auto"/>
                <w:sz w:val="18"/>
                <w:szCs w:val="18"/>
              </w:rPr>
            </w:pPr>
            <w:r>
              <w:rPr>
                <w:rFonts w:hint="eastAsia"/>
                <w:color w:val="auto"/>
                <w:sz w:val="18"/>
                <w:szCs w:val="18"/>
                <w:lang w:eastAsia="zh-CN"/>
              </w:rPr>
              <w:t>危害的症状</w:t>
            </w:r>
          </w:p>
        </w:tc>
        <w:tc>
          <w:tcPr>
            <w:tcW w:w="4501" w:type="dxa"/>
            <w:noWrap w:val="0"/>
            <w:vAlign w:val="center"/>
          </w:tcPr>
          <w:p w14:paraId="0873DF27">
            <w:pPr>
              <w:pStyle w:val="23"/>
              <w:ind w:firstLine="0" w:firstLineChars="0"/>
              <w:jc w:val="center"/>
              <w:rPr>
                <w:rFonts w:hint="eastAsia"/>
                <w:color w:val="auto"/>
                <w:sz w:val="18"/>
                <w:szCs w:val="18"/>
              </w:rPr>
            </w:pPr>
            <w:r>
              <w:rPr>
                <w:rFonts w:hint="eastAsia"/>
                <w:color w:val="auto"/>
                <w:sz w:val="18"/>
                <w:szCs w:val="18"/>
                <w:lang w:eastAsia="zh-CN"/>
              </w:rPr>
              <w:t>防治方法</w:t>
            </w:r>
          </w:p>
        </w:tc>
      </w:tr>
      <w:tr w14:paraId="35B6C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shd w:val="clear" w:color="auto" w:fill="auto"/>
            <w:noWrap w:val="0"/>
            <w:vAlign w:val="center"/>
          </w:tcPr>
          <w:p w14:paraId="1F3D6D8D">
            <w:pPr>
              <w:pStyle w:val="23"/>
              <w:ind w:firstLine="0" w:firstLineChars="0"/>
              <w:jc w:val="left"/>
              <w:rPr>
                <w:rFonts w:hint="eastAsia" w:ascii="宋体"/>
                <w:color w:val="auto"/>
                <w:sz w:val="18"/>
                <w:szCs w:val="18"/>
                <w:lang w:val="en-US" w:eastAsia="zh-CN" w:bidi="ar-SA"/>
              </w:rPr>
            </w:pPr>
            <w:r>
              <w:rPr>
                <w:rFonts w:hint="eastAsia"/>
                <w:color w:val="auto"/>
                <w:sz w:val="18"/>
                <w:szCs w:val="18"/>
              </w:rPr>
              <w:t>烟煤病</w:t>
            </w:r>
          </w:p>
        </w:tc>
        <w:tc>
          <w:tcPr>
            <w:tcW w:w="3261" w:type="dxa"/>
            <w:shd w:val="clear" w:color="auto" w:fill="auto"/>
            <w:noWrap w:val="0"/>
            <w:vAlign w:val="center"/>
          </w:tcPr>
          <w:p w14:paraId="3E91306E">
            <w:pPr>
              <w:pStyle w:val="23"/>
              <w:ind w:firstLine="0" w:firstLineChars="0"/>
              <w:jc w:val="left"/>
              <w:rPr>
                <w:rFonts w:hint="eastAsia" w:ascii="宋体" w:eastAsia="宋体"/>
                <w:color w:val="auto"/>
                <w:sz w:val="18"/>
                <w:szCs w:val="18"/>
                <w:lang w:val="en-US" w:eastAsia="zh-CN" w:bidi="ar-SA"/>
              </w:rPr>
            </w:pPr>
            <w:r>
              <w:rPr>
                <w:rFonts w:hint="eastAsia"/>
                <w:color w:val="auto"/>
                <w:sz w:val="18"/>
                <w:szCs w:val="18"/>
              </w:rPr>
              <w:t>发病初期叶和枝上发生暗褐色霉斑，扩大后形成黑色霉层，影响光合作用；严重时生成落叶、枯枝</w:t>
            </w:r>
            <w:r>
              <w:rPr>
                <w:rFonts w:hint="eastAsia"/>
                <w:color w:val="auto"/>
                <w:sz w:val="18"/>
                <w:szCs w:val="18"/>
                <w:lang w:eastAsia="zh-CN"/>
              </w:rPr>
              <w:t>。</w:t>
            </w:r>
          </w:p>
        </w:tc>
        <w:tc>
          <w:tcPr>
            <w:tcW w:w="4501" w:type="dxa"/>
            <w:shd w:val="clear" w:color="auto" w:fill="auto"/>
            <w:noWrap w:val="0"/>
            <w:vAlign w:val="center"/>
          </w:tcPr>
          <w:p w14:paraId="0A55F002">
            <w:pPr>
              <w:pStyle w:val="23"/>
              <w:ind w:firstLine="0" w:firstLineChars="0"/>
              <w:jc w:val="left"/>
              <w:rPr>
                <w:color w:val="auto"/>
                <w:sz w:val="18"/>
                <w:szCs w:val="18"/>
              </w:rPr>
            </w:pPr>
            <w:r>
              <w:rPr>
                <w:rFonts w:hint="eastAsia"/>
                <w:color w:val="auto"/>
                <w:sz w:val="18"/>
                <w:szCs w:val="18"/>
              </w:rPr>
              <w:t>①加强防治蚧壳虫、粉虱、蚜虫</w:t>
            </w:r>
            <w:r>
              <w:rPr>
                <w:rFonts w:hint="eastAsia"/>
                <w:color w:val="auto"/>
                <w:sz w:val="18"/>
                <w:szCs w:val="18"/>
                <w:lang w:eastAsia="zh-CN"/>
              </w:rPr>
              <w:t>等</w:t>
            </w:r>
            <w:r>
              <w:rPr>
                <w:rFonts w:hint="eastAsia"/>
                <w:color w:val="auto"/>
                <w:sz w:val="18"/>
                <w:szCs w:val="18"/>
              </w:rPr>
              <w:t>虫害，及时除去发病部分并烧毁；</w:t>
            </w:r>
          </w:p>
          <w:p w14:paraId="6D34085E">
            <w:pPr>
              <w:pStyle w:val="23"/>
              <w:ind w:firstLine="0" w:firstLineChars="0"/>
              <w:jc w:val="left"/>
              <w:rPr>
                <w:rFonts w:hint="eastAsia" w:ascii="宋体" w:eastAsia="宋体"/>
                <w:color w:val="auto"/>
                <w:sz w:val="18"/>
                <w:szCs w:val="18"/>
                <w:lang w:val="en-US" w:eastAsia="zh-CN" w:bidi="ar-SA"/>
              </w:rPr>
            </w:pPr>
            <w:r>
              <w:rPr>
                <w:rFonts w:hint="eastAsia"/>
                <w:color w:val="auto"/>
                <w:sz w:val="18"/>
                <w:szCs w:val="18"/>
              </w:rPr>
              <w:t>②适当修剪，改善树冠内膛通风透光条件</w:t>
            </w:r>
            <w:r>
              <w:rPr>
                <w:rFonts w:hint="eastAsia"/>
                <w:color w:val="auto"/>
                <w:sz w:val="18"/>
                <w:szCs w:val="18"/>
                <w:lang w:eastAsia="zh-CN"/>
              </w:rPr>
              <w:t>。</w:t>
            </w:r>
          </w:p>
        </w:tc>
      </w:tr>
      <w:tr w14:paraId="01C56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730C321D">
            <w:pPr>
              <w:pStyle w:val="23"/>
              <w:ind w:firstLine="0" w:firstLineChars="0"/>
              <w:jc w:val="left"/>
              <w:rPr>
                <w:rFonts w:hint="eastAsia"/>
                <w:color w:val="auto"/>
                <w:sz w:val="18"/>
                <w:szCs w:val="18"/>
              </w:rPr>
            </w:pPr>
            <w:r>
              <w:rPr>
                <w:rFonts w:hint="eastAsia"/>
                <w:color w:val="auto"/>
                <w:sz w:val="18"/>
                <w:szCs w:val="18"/>
              </w:rPr>
              <w:t>褐天牛、星天牛</w:t>
            </w:r>
          </w:p>
        </w:tc>
        <w:tc>
          <w:tcPr>
            <w:tcW w:w="3261" w:type="dxa"/>
            <w:noWrap w:val="0"/>
            <w:vAlign w:val="center"/>
          </w:tcPr>
          <w:p w14:paraId="3BE4DD03">
            <w:pPr>
              <w:pStyle w:val="23"/>
              <w:ind w:firstLine="0" w:firstLineChars="0"/>
              <w:rPr>
                <w:color w:val="auto"/>
                <w:sz w:val="18"/>
                <w:szCs w:val="18"/>
              </w:rPr>
            </w:pPr>
            <w:r>
              <w:rPr>
                <w:rFonts w:hint="eastAsia"/>
                <w:color w:val="auto"/>
                <w:sz w:val="18"/>
                <w:szCs w:val="18"/>
              </w:rPr>
              <w:t>主要危害主干。</w:t>
            </w:r>
          </w:p>
        </w:tc>
        <w:tc>
          <w:tcPr>
            <w:tcW w:w="4501" w:type="dxa"/>
            <w:noWrap w:val="0"/>
            <w:vAlign w:val="center"/>
          </w:tcPr>
          <w:p w14:paraId="1F6D41BF">
            <w:pPr>
              <w:pStyle w:val="23"/>
              <w:ind w:firstLine="0" w:firstLineChars="0"/>
              <w:rPr>
                <w:color w:val="auto"/>
                <w:sz w:val="18"/>
                <w:szCs w:val="18"/>
              </w:rPr>
            </w:pPr>
            <w:r>
              <w:rPr>
                <w:rFonts w:hint="eastAsia"/>
                <w:color w:val="auto"/>
                <w:sz w:val="18"/>
                <w:szCs w:val="18"/>
              </w:rPr>
              <w:t>①搏杀成虫，掌握成虫活动习性，羽化时及时抹杀；</w:t>
            </w:r>
          </w:p>
          <w:p w14:paraId="1A78DC72">
            <w:pPr>
              <w:pStyle w:val="23"/>
              <w:ind w:firstLine="0" w:firstLineChars="0"/>
              <w:rPr>
                <w:rFonts w:hint="eastAsia"/>
                <w:color w:val="auto"/>
                <w:sz w:val="18"/>
                <w:szCs w:val="18"/>
                <w:lang w:eastAsia="zh-CN"/>
              </w:rPr>
            </w:pPr>
            <w:r>
              <w:rPr>
                <w:rFonts w:hint="eastAsia"/>
                <w:color w:val="auto"/>
                <w:sz w:val="18"/>
                <w:szCs w:val="18"/>
              </w:rPr>
              <w:t>②</w:t>
            </w:r>
            <w:r>
              <w:rPr>
                <w:rFonts w:hint="eastAsia"/>
                <w:color w:val="auto"/>
                <w:sz w:val="18"/>
                <w:szCs w:val="18"/>
                <w:lang w:eastAsia="zh-CN"/>
              </w:rPr>
              <w:t>用家庭用杀虫剂对准出新鲜木屑虫孔喷雾，毒杀幼虫；</w:t>
            </w:r>
          </w:p>
          <w:p w14:paraId="3ADE1F42">
            <w:pPr>
              <w:pStyle w:val="23"/>
              <w:ind w:firstLine="0" w:firstLineChars="0"/>
              <w:rPr>
                <w:color w:val="auto"/>
                <w:sz w:val="18"/>
                <w:szCs w:val="18"/>
              </w:rPr>
            </w:pPr>
            <w:r>
              <w:rPr>
                <w:rFonts w:hint="eastAsia"/>
                <w:color w:val="auto"/>
                <w:sz w:val="18"/>
                <w:szCs w:val="18"/>
              </w:rPr>
              <w:t>③以虫灭虫：用广大肿腿蜂；</w:t>
            </w:r>
          </w:p>
          <w:p w14:paraId="0A2BE415">
            <w:pPr>
              <w:pStyle w:val="23"/>
              <w:ind w:firstLine="0" w:firstLineChars="0"/>
              <w:rPr>
                <w:rFonts w:hint="eastAsia" w:eastAsia="宋体"/>
                <w:color w:val="auto"/>
                <w:sz w:val="18"/>
                <w:szCs w:val="18"/>
                <w:lang w:eastAsia="zh-CN"/>
              </w:rPr>
            </w:pPr>
            <w:r>
              <w:rPr>
                <w:rFonts w:hint="eastAsia"/>
                <w:color w:val="auto"/>
                <w:sz w:val="18"/>
                <w:szCs w:val="18"/>
              </w:rPr>
              <w:t>④6</w:t>
            </w:r>
            <w:r>
              <w:rPr>
                <w:rFonts w:hint="eastAsia" w:hAnsi="宋体"/>
                <w:color w:val="auto"/>
                <w:sz w:val="18"/>
                <w:szCs w:val="18"/>
              </w:rPr>
              <w:t>～</w:t>
            </w:r>
            <w:r>
              <w:rPr>
                <w:color w:val="auto"/>
                <w:sz w:val="18"/>
                <w:szCs w:val="18"/>
              </w:rPr>
              <w:t>8</w:t>
            </w:r>
            <w:r>
              <w:rPr>
                <w:rFonts w:hint="eastAsia"/>
                <w:color w:val="auto"/>
                <w:sz w:val="18"/>
                <w:szCs w:val="18"/>
              </w:rPr>
              <w:t>月间检查树干，发现虫卵及幼虫，用小刀刮杀，树干涂石硫合剂或者刷白剂</w:t>
            </w:r>
            <w:r>
              <w:rPr>
                <w:rFonts w:hint="eastAsia"/>
                <w:color w:val="auto"/>
                <w:sz w:val="18"/>
                <w:szCs w:val="18"/>
                <w:lang w:eastAsia="zh-CN"/>
              </w:rPr>
              <w:t>。</w:t>
            </w:r>
          </w:p>
        </w:tc>
      </w:tr>
      <w:tr w14:paraId="431A6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1994C5AC">
            <w:pPr>
              <w:pStyle w:val="23"/>
              <w:ind w:firstLine="0" w:firstLineChars="0"/>
              <w:jc w:val="left"/>
              <w:rPr>
                <w:rFonts w:hint="eastAsia"/>
                <w:color w:val="auto"/>
                <w:sz w:val="18"/>
                <w:szCs w:val="18"/>
              </w:rPr>
            </w:pPr>
            <w:r>
              <w:rPr>
                <w:rFonts w:hint="eastAsia"/>
                <w:color w:val="auto"/>
                <w:sz w:val="18"/>
                <w:szCs w:val="18"/>
              </w:rPr>
              <w:t>潜叶蛾</w:t>
            </w:r>
          </w:p>
        </w:tc>
        <w:tc>
          <w:tcPr>
            <w:tcW w:w="3261" w:type="dxa"/>
            <w:noWrap w:val="0"/>
            <w:vAlign w:val="center"/>
          </w:tcPr>
          <w:p w14:paraId="17247029">
            <w:pPr>
              <w:pStyle w:val="23"/>
              <w:ind w:firstLine="0" w:firstLineChars="0"/>
              <w:rPr>
                <w:rFonts w:hint="eastAsia"/>
                <w:color w:val="auto"/>
                <w:sz w:val="18"/>
                <w:szCs w:val="18"/>
              </w:rPr>
            </w:pPr>
            <w:r>
              <w:rPr>
                <w:rFonts w:hint="eastAsia"/>
                <w:color w:val="auto"/>
                <w:sz w:val="18"/>
                <w:szCs w:val="18"/>
              </w:rPr>
              <w:t>危害嫩叶。</w:t>
            </w:r>
          </w:p>
        </w:tc>
        <w:tc>
          <w:tcPr>
            <w:tcW w:w="4501" w:type="dxa"/>
            <w:noWrap w:val="0"/>
            <w:vAlign w:val="center"/>
          </w:tcPr>
          <w:p w14:paraId="02054BA1">
            <w:pPr>
              <w:pStyle w:val="23"/>
              <w:ind w:firstLine="0" w:firstLineChars="0"/>
              <w:rPr>
                <w:color w:val="auto"/>
                <w:sz w:val="18"/>
                <w:szCs w:val="18"/>
              </w:rPr>
            </w:pPr>
            <w:r>
              <w:rPr>
                <w:rFonts w:hint="eastAsia"/>
                <w:color w:val="auto"/>
                <w:sz w:val="18"/>
                <w:szCs w:val="18"/>
              </w:rPr>
              <w:t>①</w:t>
            </w:r>
            <w:r>
              <w:rPr>
                <w:rFonts w:hint="eastAsia"/>
                <w:color w:val="auto"/>
                <w:sz w:val="18"/>
                <w:szCs w:val="18"/>
                <w:lang w:eastAsia="zh-CN"/>
              </w:rPr>
              <w:t>统一放梢，使新梢萌发时间相对整齐</w:t>
            </w:r>
            <w:r>
              <w:rPr>
                <w:rFonts w:hint="eastAsia"/>
                <w:color w:val="auto"/>
                <w:sz w:val="18"/>
                <w:szCs w:val="18"/>
              </w:rPr>
              <w:t>；</w:t>
            </w:r>
          </w:p>
          <w:p w14:paraId="0C39E2A5">
            <w:pPr>
              <w:pStyle w:val="23"/>
              <w:ind w:firstLine="0" w:firstLineChars="0"/>
              <w:rPr>
                <w:rFonts w:hint="eastAsia"/>
                <w:color w:val="auto"/>
                <w:sz w:val="18"/>
                <w:szCs w:val="18"/>
              </w:rPr>
            </w:pPr>
            <w:r>
              <w:rPr>
                <w:rFonts w:hint="eastAsia"/>
                <w:color w:val="auto"/>
                <w:sz w:val="18"/>
                <w:szCs w:val="18"/>
              </w:rPr>
              <w:t>②夏、秋梢</w:t>
            </w:r>
            <w:r>
              <w:rPr>
                <w:rFonts w:hint="eastAsia"/>
                <w:color w:val="auto"/>
                <w:sz w:val="18"/>
                <w:szCs w:val="18"/>
                <w:lang w:eastAsia="zh-CN"/>
              </w:rPr>
              <w:t>萌</w:t>
            </w:r>
            <w:r>
              <w:rPr>
                <w:rFonts w:hint="eastAsia"/>
                <w:color w:val="auto"/>
                <w:sz w:val="18"/>
                <w:szCs w:val="18"/>
              </w:rPr>
              <w:t>芽</w:t>
            </w:r>
            <w:r>
              <w:rPr>
                <w:rFonts w:hint="eastAsia"/>
                <w:color w:val="auto"/>
                <w:sz w:val="18"/>
                <w:szCs w:val="18"/>
                <w:lang w:val="en-US" w:eastAsia="zh-CN"/>
              </w:rPr>
              <w:t>1cm</w:t>
            </w:r>
            <w:r>
              <w:rPr>
                <w:rFonts w:hint="eastAsia" w:hAnsi="宋体"/>
                <w:color w:val="auto"/>
                <w:sz w:val="18"/>
                <w:szCs w:val="18"/>
              </w:rPr>
              <w:t>～</w:t>
            </w:r>
            <w:r>
              <w:rPr>
                <w:rFonts w:hint="eastAsia" w:hAnsi="宋体"/>
                <w:color w:val="auto"/>
                <w:sz w:val="18"/>
                <w:szCs w:val="18"/>
                <w:lang w:val="en-US" w:eastAsia="zh-CN"/>
              </w:rPr>
              <w:t>3cm</w:t>
            </w:r>
            <w:r>
              <w:rPr>
                <w:rFonts w:hint="eastAsia"/>
                <w:color w:val="auto"/>
                <w:sz w:val="18"/>
                <w:szCs w:val="18"/>
              </w:rPr>
              <w:t>，喷阿维菌素5</w:t>
            </w:r>
            <w:r>
              <w:rPr>
                <w:color w:val="auto"/>
                <w:sz w:val="18"/>
                <w:szCs w:val="18"/>
              </w:rPr>
              <w:t>00</w:t>
            </w:r>
            <w:r>
              <w:rPr>
                <w:rFonts w:hint="eastAsia"/>
                <w:color w:val="auto"/>
                <w:sz w:val="18"/>
                <w:szCs w:val="18"/>
              </w:rPr>
              <w:t>倍</w:t>
            </w:r>
            <w:r>
              <w:rPr>
                <w:rFonts w:hint="eastAsia" w:hAnsi="宋体"/>
                <w:color w:val="auto"/>
                <w:sz w:val="18"/>
                <w:szCs w:val="18"/>
              </w:rPr>
              <w:t>～</w:t>
            </w:r>
            <w:r>
              <w:rPr>
                <w:color w:val="auto"/>
                <w:sz w:val="18"/>
                <w:szCs w:val="18"/>
              </w:rPr>
              <w:t>800</w:t>
            </w:r>
            <w:r>
              <w:rPr>
                <w:rFonts w:hint="eastAsia"/>
                <w:color w:val="auto"/>
                <w:sz w:val="18"/>
                <w:szCs w:val="18"/>
              </w:rPr>
              <w:t>倍液</w:t>
            </w:r>
            <w:r>
              <w:rPr>
                <w:rFonts w:hint="eastAsia"/>
                <w:color w:val="auto"/>
                <w:sz w:val="18"/>
                <w:szCs w:val="18"/>
                <w:lang w:eastAsia="zh-CN"/>
              </w:rPr>
              <w:t>或拟除虫菊酯类农药，</w:t>
            </w:r>
            <w:r>
              <w:rPr>
                <w:rFonts w:hint="eastAsia"/>
                <w:color w:val="auto"/>
                <w:sz w:val="18"/>
                <w:szCs w:val="18"/>
                <w:lang w:val="en-US" w:eastAsia="zh-CN"/>
              </w:rPr>
              <w:t>7d一次，连喷2次</w:t>
            </w:r>
            <w:r>
              <w:rPr>
                <w:rFonts w:hint="eastAsia" w:hAnsi="宋体"/>
                <w:color w:val="auto"/>
                <w:sz w:val="18"/>
                <w:szCs w:val="18"/>
              </w:rPr>
              <w:t>～</w:t>
            </w:r>
            <w:r>
              <w:rPr>
                <w:rFonts w:hint="eastAsia" w:hAnsi="宋体"/>
                <w:color w:val="auto"/>
                <w:sz w:val="18"/>
                <w:szCs w:val="18"/>
                <w:lang w:val="en-US" w:eastAsia="zh-CN"/>
              </w:rPr>
              <w:t>3次</w:t>
            </w:r>
            <w:r>
              <w:rPr>
                <w:rFonts w:hint="eastAsia"/>
                <w:color w:val="auto"/>
                <w:sz w:val="18"/>
                <w:szCs w:val="18"/>
              </w:rPr>
              <w:t>。</w:t>
            </w:r>
          </w:p>
        </w:tc>
      </w:tr>
      <w:tr w14:paraId="66814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7EFD0A6F">
            <w:pPr>
              <w:pStyle w:val="23"/>
              <w:ind w:firstLine="0" w:firstLineChars="0"/>
              <w:jc w:val="left"/>
              <w:rPr>
                <w:rFonts w:hint="eastAsia" w:eastAsia="宋体"/>
                <w:color w:val="auto"/>
                <w:sz w:val="18"/>
                <w:szCs w:val="18"/>
                <w:lang w:eastAsia="zh-CN"/>
              </w:rPr>
            </w:pPr>
            <w:r>
              <w:rPr>
                <w:rFonts w:hint="eastAsia"/>
                <w:color w:val="auto"/>
                <w:sz w:val="18"/>
                <w:szCs w:val="18"/>
                <w:lang w:eastAsia="zh-CN"/>
              </w:rPr>
              <w:t>红蜘蛛</w:t>
            </w:r>
          </w:p>
        </w:tc>
        <w:tc>
          <w:tcPr>
            <w:tcW w:w="3261" w:type="dxa"/>
            <w:noWrap w:val="0"/>
            <w:vAlign w:val="center"/>
          </w:tcPr>
          <w:p w14:paraId="4122E6CD">
            <w:pPr>
              <w:pStyle w:val="23"/>
              <w:ind w:firstLine="0" w:firstLineChars="0"/>
              <w:rPr>
                <w:rFonts w:hint="default" w:eastAsia="宋体"/>
                <w:color w:val="auto"/>
                <w:sz w:val="18"/>
                <w:szCs w:val="18"/>
                <w:lang w:val="en-US" w:eastAsia="zh-CN"/>
              </w:rPr>
            </w:pPr>
            <w:r>
              <w:rPr>
                <w:rFonts w:hint="eastAsia"/>
                <w:color w:val="auto"/>
                <w:sz w:val="18"/>
                <w:szCs w:val="18"/>
                <w:lang w:val="en-US" w:eastAsia="zh-CN"/>
              </w:rPr>
              <w:t>4月</w:t>
            </w:r>
            <w:r>
              <w:rPr>
                <w:rFonts w:hint="eastAsia" w:hAnsi="宋体"/>
                <w:color w:val="auto"/>
                <w:sz w:val="18"/>
                <w:szCs w:val="18"/>
              </w:rPr>
              <w:t>～</w:t>
            </w:r>
            <w:r>
              <w:rPr>
                <w:rFonts w:hint="eastAsia" w:hAnsi="宋体"/>
                <w:color w:val="auto"/>
                <w:sz w:val="18"/>
                <w:szCs w:val="18"/>
                <w:lang w:val="en-US" w:eastAsia="zh-CN"/>
              </w:rPr>
              <w:t>6月和9月</w:t>
            </w:r>
            <w:r>
              <w:rPr>
                <w:rFonts w:hint="eastAsia" w:hAnsi="宋体"/>
                <w:color w:val="auto"/>
                <w:sz w:val="18"/>
                <w:szCs w:val="18"/>
              </w:rPr>
              <w:t>～</w:t>
            </w:r>
            <w:r>
              <w:rPr>
                <w:rFonts w:hint="eastAsia" w:hAnsi="宋体"/>
                <w:color w:val="auto"/>
                <w:sz w:val="18"/>
                <w:szCs w:val="18"/>
                <w:lang w:val="en-US" w:eastAsia="zh-CN"/>
              </w:rPr>
              <w:t>10月群集叶片、嫩梢、果皮上吸汁，危害严重时造成落叶。</w:t>
            </w:r>
          </w:p>
        </w:tc>
        <w:tc>
          <w:tcPr>
            <w:tcW w:w="4501" w:type="dxa"/>
            <w:noWrap w:val="0"/>
            <w:vAlign w:val="center"/>
          </w:tcPr>
          <w:p w14:paraId="5F6C3496">
            <w:pPr>
              <w:pStyle w:val="23"/>
              <w:ind w:firstLine="0" w:firstLineChars="0"/>
              <w:rPr>
                <w:rFonts w:hint="default" w:eastAsia="宋体"/>
                <w:color w:val="auto"/>
                <w:sz w:val="18"/>
                <w:szCs w:val="18"/>
                <w:lang w:val="en-US" w:eastAsia="zh-CN"/>
              </w:rPr>
            </w:pPr>
            <w:r>
              <w:rPr>
                <w:rFonts w:hint="eastAsia"/>
                <w:color w:val="auto"/>
                <w:sz w:val="18"/>
                <w:szCs w:val="18"/>
                <w:lang w:eastAsia="zh-CN"/>
              </w:rPr>
              <w:t>防治药剂：</w:t>
            </w:r>
            <w:r>
              <w:rPr>
                <w:rFonts w:hint="eastAsia"/>
                <w:color w:val="auto"/>
                <w:sz w:val="18"/>
                <w:szCs w:val="18"/>
                <w:lang w:val="en-US" w:eastAsia="zh-CN"/>
              </w:rPr>
              <w:t>99%矿物油乳剂200倍液、1.8%阿维菌素乳油3000倍液、20%阿维螺螨酯4000倍液、45%晶体石硫合剂250倍</w:t>
            </w:r>
            <w:r>
              <w:rPr>
                <w:rFonts w:hint="eastAsia" w:hAnsi="宋体"/>
                <w:color w:val="auto"/>
                <w:sz w:val="18"/>
                <w:szCs w:val="18"/>
              </w:rPr>
              <w:t>～</w:t>
            </w:r>
            <w:r>
              <w:rPr>
                <w:rFonts w:hint="eastAsia" w:hAnsi="宋体"/>
                <w:color w:val="auto"/>
                <w:sz w:val="18"/>
                <w:szCs w:val="18"/>
                <w:lang w:val="en-US" w:eastAsia="zh-CN"/>
              </w:rPr>
              <w:t>400倍液等。</w:t>
            </w:r>
          </w:p>
        </w:tc>
      </w:tr>
      <w:tr w14:paraId="2564D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809" w:type="dxa"/>
            <w:noWrap w:val="0"/>
            <w:vAlign w:val="center"/>
          </w:tcPr>
          <w:p w14:paraId="532AABE5">
            <w:pPr>
              <w:pStyle w:val="23"/>
              <w:ind w:firstLine="0" w:firstLineChars="0"/>
              <w:jc w:val="left"/>
              <w:rPr>
                <w:rFonts w:hint="eastAsia"/>
                <w:color w:val="auto"/>
                <w:sz w:val="18"/>
                <w:szCs w:val="18"/>
              </w:rPr>
            </w:pPr>
            <w:r>
              <w:rPr>
                <w:rFonts w:hint="eastAsia"/>
                <w:color w:val="auto"/>
                <w:sz w:val="18"/>
                <w:szCs w:val="18"/>
              </w:rPr>
              <w:t>吹绵蚧、红蜡蚧、黑点蚧等</w:t>
            </w:r>
          </w:p>
        </w:tc>
        <w:tc>
          <w:tcPr>
            <w:tcW w:w="3261" w:type="dxa"/>
            <w:noWrap w:val="0"/>
            <w:vAlign w:val="center"/>
          </w:tcPr>
          <w:p w14:paraId="4C4067BE">
            <w:pPr>
              <w:pStyle w:val="23"/>
              <w:ind w:firstLine="0" w:firstLineChars="0"/>
              <w:rPr>
                <w:rFonts w:hint="eastAsia"/>
                <w:color w:val="auto"/>
                <w:sz w:val="18"/>
                <w:szCs w:val="18"/>
              </w:rPr>
            </w:pPr>
            <w:r>
              <w:rPr>
                <w:rFonts w:hint="eastAsia"/>
                <w:color w:val="auto"/>
                <w:sz w:val="18"/>
                <w:szCs w:val="18"/>
              </w:rPr>
              <w:t>危害颗粒，并可诱发烟煤病。</w:t>
            </w:r>
          </w:p>
        </w:tc>
        <w:tc>
          <w:tcPr>
            <w:tcW w:w="4501" w:type="dxa"/>
            <w:noWrap w:val="0"/>
            <w:vAlign w:val="center"/>
          </w:tcPr>
          <w:p w14:paraId="357A5332">
            <w:pPr>
              <w:pStyle w:val="23"/>
              <w:ind w:firstLine="0" w:firstLineChars="0"/>
              <w:rPr>
                <w:rFonts w:hint="default" w:eastAsia="宋体"/>
                <w:color w:val="auto"/>
                <w:sz w:val="18"/>
                <w:szCs w:val="18"/>
                <w:lang w:val="en-US" w:eastAsia="zh-CN"/>
              </w:rPr>
            </w:pPr>
            <w:r>
              <w:rPr>
                <w:rFonts w:hint="eastAsia"/>
                <w:color w:val="auto"/>
                <w:sz w:val="18"/>
                <w:szCs w:val="18"/>
                <w:lang w:eastAsia="zh-CN"/>
              </w:rPr>
              <w:t>在</w:t>
            </w:r>
            <w:r>
              <w:rPr>
                <w:rFonts w:hint="eastAsia"/>
                <w:color w:val="auto"/>
                <w:sz w:val="18"/>
                <w:szCs w:val="18"/>
                <w:lang w:val="en-US" w:eastAsia="zh-CN"/>
              </w:rPr>
              <w:t>5月下旬</w:t>
            </w:r>
            <w:r>
              <w:rPr>
                <w:rFonts w:hint="eastAsia" w:hAnsi="宋体"/>
                <w:color w:val="auto"/>
                <w:sz w:val="18"/>
                <w:szCs w:val="18"/>
              </w:rPr>
              <w:t>～</w:t>
            </w:r>
            <w:r>
              <w:rPr>
                <w:rFonts w:hint="eastAsia" w:hAnsi="宋体"/>
                <w:color w:val="auto"/>
                <w:sz w:val="18"/>
                <w:szCs w:val="18"/>
                <w:lang w:val="en-US" w:eastAsia="zh-CN"/>
              </w:rPr>
              <w:t>6月初喷雾99%矿物油200倍液。</w:t>
            </w:r>
          </w:p>
        </w:tc>
      </w:tr>
    </w:tbl>
    <w:p w14:paraId="3EC0C970">
      <w:pPr>
        <w:pStyle w:val="23"/>
        <w:rPr>
          <w:rFonts w:hint="eastAsia"/>
          <w:color w:val="auto"/>
        </w:rPr>
      </w:pPr>
    </w:p>
    <w:p w14:paraId="4AD8F884">
      <w:pPr>
        <w:pStyle w:val="117"/>
        <w:rPr>
          <w:rFonts w:hint="eastAsia"/>
          <w:color w:val="auto"/>
        </w:rPr>
      </w:pPr>
      <w:r>
        <w:rPr>
          <w:color w:val="auto"/>
        </w:rPr>
        <w:t>_________________________________</w:t>
      </w: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03A0E">
    <w:pPr>
      <w:pStyle w:val="130"/>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22B7">
    <w:pPr>
      <w:pStyle w:val="84"/>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FD7B2">
    <w:pPr>
      <w:pStyle w:val="108"/>
      <w:jc w:val="both"/>
    </w:pPr>
    <w:r>
      <w:t>DB36/</w:t>
    </w:r>
    <w:r>
      <w:rPr>
        <w:rFonts w:hint="eastAsia"/>
        <w:lang w:val="en-US" w:eastAsia="zh-CN"/>
      </w:rPr>
      <w:t>T</w:t>
    </w:r>
    <w:r>
      <w:t xml:space="preserve"> </w:t>
    </w:r>
    <w:r>
      <w:rPr>
        <w:rFonts w:hint="eastAsia"/>
        <w:lang w:val="en-US" w:eastAsia="zh-CN"/>
      </w:rPr>
      <w:t>1467</w:t>
    </w:r>
    <w:r>
      <w:t>—</w:t>
    </w:r>
    <w:r>
      <w:rPr>
        <w:rFonts w:hint="eastAsia"/>
        <w:lang w:val="en-US" w:eastAsia="zh-CN"/>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C808">
    <w:pPr>
      <w:pStyle w:val="108"/>
      <w:rPr>
        <w:rFonts w:hint="default" w:eastAsia="黑体"/>
        <w:lang w:val="en-US" w:eastAsia="zh-CN"/>
      </w:rPr>
    </w:pPr>
    <w:r>
      <w:t>DB36/</w:t>
    </w:r>
    <w:r>
      <w:rPr>
        <w:rFonts w:hint="eastAsia"/>
        <w:lang w:val="en-US" w:eastAsia="zh-CN"/>
      </w:rPr>
      <w:t>T</w:t>
    </w:r>
    <w:r>
      <w:t xml:space="preserve"> </w:t>
    </w:r>
    <w:r>
      <w:rPr>
        <w:rFonts w:hint="eastAsia"/>
        <w:lang w:val="en-US" w:eastAsia="zh-CN"/>
      </w:rPr>
      <w:t>1467</w:t>
    </w:r>
    <w:r>
      <w:t>—</w:t>
    </w:r>
    <w:r>
      <w:rPr>
        <w:rFonts w:hint="eastAsia"/>
        <w:lang w:val="en-US" w:eastAsia="zh-CN"/>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39E9B"/>
    <w:multiLevelType w:val="singleLevel"/>
    <w:tmpl w:val="A3B39E9B"/>
    <w:lvl w:ilvl="0" w:tentative="0">
      <w:start w:val="1"/>
      <w:numFmt w:val="lowerLetter"/>
      <w:suff w:val="space"/>
      <w:lvlText w:val="%1)"/>
      <w:lvlJc w:val="left"/>
    </w:lvl>
  </w:abstractNum>
  <w:abstractNum w:abstractNumId="1">
    <w:nsid w:val="0543DD96"/>
    <w:multiLevelType w:val="singleLevel"/>
    <w:tmpl w:val="0543DD96"/>
    <w:lvl w:ilvl="0" w:tentative="0">
      <w:start w:val="3"/>
      <w:numFmt w:val="decimal"/>
      <w:suff w:val="nothing"/>
      <w:lvlText w:val="%1　"/>
      <w:lvlJc w:val="left"/>
    </w:lvl>
  </w:abstractNum>
  <w:abstractNum w:abstractNumId="2">
    <w:nsid w:val="079102AD"/>
    <w:multiLevelType w:val="multilevel"/>
    <w:tmpl w:val="079102AD"/>
    <w:lvl w:ilvl="0" w:tentative="0">
      <w:start w:val="1"/>
      <w:numFmt w:val="decimal"/>
      <w:pStyle w:val="8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9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tentative="0">
      <w:start w:val="1"/>
      <w:numFmt w:val="lowerLetter"/>
      <w:pStyle w:val="12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13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7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5"/>
      <w:suff w:val="nothing"/>
      <w:lvlText w:val="%1.%2.%3　"/>
      <w:lvlJc w:val="left"/>
      <w:pPr>
        <w:ind w:left="1135"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6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136"/>
      <w:suff w:val="space"/>
      <w:lvlText w:val="%1"/>
      <w:lvlJc w:val="left"/>
      <w:pPr>
        <w:ind w:left="623" w:hanging="425"/>
      </w:pPr>
      <w:rPr>
        <w:rFonts w:hint="eastAsia"/>
      </w:rPr>
    </w:lvl>
    <w:lvl w:ilvl="1" w:tentative="0">
      <w:start w:val="1"/>
      <w:numFmt w:val="decimal"/>
      <w:pStyle w:val="12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11"/>
      <w:suff w:val="nothing"/>
      <w:lvlText w:val="%1——"/>
      <w:lvlJc w:val="left"/>
      <w:pPr>
        <w:ind w:left="833" w:hanging="408"/>
      </w:pPr>
      <w:rPr>
        <w:rFonts w:hint="eastAsia"/>
      </w:rPr>
    </w:lvl>
    <w:lvl w:ilvl="1" w:tentative="0">
      <w:start w:val="1"/>
      <w:numFmt w:val="bullet"/>
      <w:pStyle w:val="82"/>
      <w:lvlText w:val=""/>
      <w:lvlJc w:val="left"/>
      <w:pPr>
        <w:tabs>
          <w:tab w:val="left" w:pos="760"/>
        </w:tabs>
        <w:ind w:left="1264" w:hanging="413"/>
      </w:pPr>
      <w:rPr>
        <w:rFonts w:hint="default" w:ascii="Symbol" w:hAnsi="Symbol"/>
        <w:color w:val="auto"/>
      </w:rPr>
    </w:lvl>
    <w:lvl w:ilvl="2" w:tentative="0">
      <w:start w:val="1"/>
      <w:numFmt w:val="bullet"/>
      <w:pStyle w:val="10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57F4BD0"/>
    <w:multiLevelType w:val="multilevel"/>
    <w:tmpl w:val="457F4BD0"/>
    <w:lvl w:ilvl="0" w:tentative="0">
      <w:start w:val="1"/>
      <w:numFmt w:val="lowerLetter"/>
      <w:pStyle w:val="9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8"/>
      <w:lvlText w:val="%2)"/>
      <w:lvlJc w:val="left"/>
      <w:pPr>
        <w:tabs>
          <w:tab w:val="left" w:pos="1260"/>
        </w:tabs>
        <w:ind w:left="1259" w:hanging="419"/>
      </w:pPr>
      <w:rPr>
        <w:rFonts w:hint="eastAsia"/>
      </w:rPr>
    </w:lvl>
    <w:lvl w:ilvl="2" w:tentative="0">
      <w:start w:val="1"/>
      <w:numFmt w:val="decimal"/>
      <w:pStyle w:val="10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4E557AEB"/>
    <w:multiLevelType w:val="singleLevel"/>
    <w:tmpl w:val="4E557AEB"/>
    <w:lvl w:ilvl="0" w:tentative="0">
      <w:start w:val="1"/>
      <w:numFmt w:val="lowerLetter"/>
      <w:suff w:val="space"/>
      <w:lvlText w:val="%1)"/>
      <w:lvlJc w:val="left"/>
    </w:lvl>
  </w:abstractNum>
  <w:abstractNum w:abstractNumId="14">
    <w:nsid w:val="557C2AF5"/>
    <w:multiLevelType w:val="multilevel"/>
    <w:tmpl w:val="557C2AF5"/>
    <w:lvl w:ilvl="0" w:tentative="0">
      <w:start w:val="1"/>
      <w:numFmt w:val="decimal"/>
      <w:pStyle w:val="1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138"/>
      <w:lvlText w:val="%1"/>
      <w:lvlJc w:val="left"/>
      <w:pPr>
        <w:tabs>
          <w:tab w:val="left" w:pos="0"/>
        </w:tabs>
        <w:ind w:left="0" w:hanging="425"/>
      </w:pPr>
      <w:rPr>
        <w:rFonts w:hint="eastAsia"/>
      </w:rPr>
    </w:lvl>
    <w:lvl w:ilvl="1" w:tentative="0">
      <w:start w:val="1"/>
      <w:numFmt w:val="decimal"/>
      <w:pStyle w:val="12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7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13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8"/>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0" w:firstLine="0"/>
      </w:pPr>
      <w:rPr>
        <w:rFonts w:hint="eastAsia" w:ascii="黑体" w:hAnsi="Times New Roman" w:eastAsia="黑体"/>
        <w:b w:val="0"/>
        <w:i w:val="0"/>
        <w:sz w:val="21"/>
      </w:rPr>
    </w:lvl>
    <w:lvl w:ilvl="5" w:tentative="0">
      <w:start w:val="1"/>
      <w:numFmt w:val="decimal"/>
      <w:pStyle w:val="75"/>
      <w:suff w:val="nothing"/>
      <w:lvlText w:val="%1.%2.%3.%4.%5.%6　"/>
      <w:lvlJc w:val="left"/>
      <w:pPr>
        <w:ind w:left="0" w:firstLine="0"/>
      </w:pPr>
      <w:rPr>
        <w:rFonts w:hint="eastAsia" w:ascii="黑体" w:hAnsi="Times New Roman" w:eastAsia="黑体"/>
        <w:b w:val="0"/>
        <w:i w:val="0"/>
        <w:sz w:val="21"/>
      </w:rPr>
    </w:lvl>
    <w:lvl w:ilvl="6" w:tentative="0">
      <w:start w:val="1"/>
      <w:numFmt w:val="decimal"/>
      <w:pStyle w:val="7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11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12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3"/>
  </w:num>
  <w:num w:numId="3">
    <w:abstractNumId w:val="17"/>
  </w:num>
  <w:num w:numId="4">
    <w:abstractNumId w:val="7"/>
  </w:num>
  <w:num w:numId="5">
    <w:abstractNumId w:val="16"/>
  </w:num>
  <w:num w:numId="6">
    <w:abstractNumId w:val="9"/>
  </w:num>
  <w:num w:numId="7">
    <w:abstractNumId w:val="2"/>
  </w:num>
  <w:num w:numId="8">
    <w:abstractNumId w:val="11"/>
  </w:num>
  <w:num w:numId="9">
    <w:abstractNumId w:val="4"/>
  </w:num>
  <w:num w:numId="10">
    <w:abstractNumId w:val="12"/>
  </w:num>
  <w:num w:numId="11">
    <w:abstractNumId w:val="18"/>
  </w:num>
  <w:num w:numId="12">
    <w:abstractNumId w:val="14"/>
  </w:num>
  <w:num w:numId="13">
    <w:abstractNumId w:val="19"/>
  </w:num>
  <w:num w:numId="14">
    <w:abstractNumId w:val="5"/>
  </w:num>
  <w:num w:numId="15">
    <w:abstractNumId w:val="15"/>
  </w:num>
  <w:num w:numId="16">
    <w:abstractNumId w:val="8"/>
  </w:num>
  <w:num w:numId="17">
    <w:abstractNumId w:val="6"/>
  </w:num>
  <w:num w:numId="18">
    <w:abstractNumId w:val="1"/>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035925"/>
    <w:rsid w:val="00000244"/>
    <w:rsid w:val="0000185F"/>
    <w:rsid w:val="0000586F"/>
    <w:rsid w:val="000077FB"/>
    <w:rsid w:val="0001054B"/>
    <w:rsid w:val="000108EF"/>
    <w:rsid w:val="00013D86"/>
    <w:rsid w:val="00013E02"/>
    <w:rsid w:val="000179EE"/>
    <w:rsid w:val="0002143C"/>
    <w:rsid w:val="000221D6"/>
    <w:rsid w:val="000245AB"/>
    <w:rsid w:val="00025291"/>
    <w:rsid w:val="00025A65"/>
    <w:rsid w:val="000262C6"/>
    <w:rsid w:val="00026C31"/>
    <w:rsid w:val="00027280"/>
    <w:rsid w:val="000303ED"/>
    <w:rsid w:val="000320A7"/>
    <w:rsid w:val="000335CD"/>
    <w:rsid w:val="00034DDD"/>
    <w:rsid w:val="00035925"/>
    <w:rsid w:val="000371E9"/>
    <w:rsid w:val="000376D1"/>
    <w:rsid w:val="000415AC"/>
    <w:rsid w:val="00042A45"/>
    <w:rsid w:val="0004596F"/>
    <w:rsid w:val="000522BF"/>
    <w:rsid w:val="000537AD"/>
    <w:rsid w:val="00054710"/>
    <w:rsid w:val="00054878"/>
    <w:rsid w:val="00057084"/>
    <w:rsid w:val="00057351"/>
    <w:rsid w:val="00057420"/>
    <w:rsid w:val="00062181"/>
    <w:rsid w:val="000633C8"/>
    <w:rsid w:val="00064FB7"/>
    <w:rsid w:val="00067CDF"/>
    <w:rsid w:val="0007151E"/>
    <w:rsid w:val="00073644"/>
    <w:rsid w:val="00073944"/>
    <w:rsid w:val="00074345"/>
    <w:rsid w:val="00074FBE"/>
    <w:rsid w:val="00075A5F"/>
    <w:rsid w:val="00076940"/>
    <w:rsid w:val="00077284"/>
    <w:rsid w:val="00077757"/>
    <w:rsid w:val="00083A09"/>
    <w:rsid w:val="00084351"/>
    <w:rsid w:val="000854C2"/>
    <w:rsid w:val="00085764"/>
    <w:rsid w:val="0009005E"/>
    <w:rsid w:val="000906F0"/>
    <w:rsid w:val="00090B10"/>
    <w:rsid w:val="00090C4C"/>
    <w:rsid w:val="00092857"/>
    <w:rsid w:val="00094AA2"/>
    <w:rsid w:val="000961CF"/>
    <w:rsid w:val="00096ABA"/>
    <w:rsid w:val="000977E4"/>
    <w:rsid w:val="000A11F1"/>
    <w:rsid w:val="000A12AD"/>
    <w:rsid w:val="000A1A79"/>
    <w:rsid w:val="000A20A9"/>
    <w:rsid w:val="000A48B1"/>
    <w:rsid w:val="000A48E3"/>
    <w:rsid w:val="000A52C7"/>
    <w:rsid w:val="000A57DA"/>
    <w:rsid w:val="000A751F"/>
    <w:rsid w:val="000B3143"/>
    <w:rsid w:val="000B42F8"/>
    <w:rsid w:val="000B6C3E"/>
    <w:rsid w:val="000B72E3"/>
    <w:rsid w:val="000C187A"/>
    <w:rsid w:val="000C4F45"/>
    <w:rsid w:val="000C6B05"/>
    <w:rsid w:val="000C6DD6"/>
    <w:rsid w:val="000C6FD6"/>
    <w:rsid w:val="000C73D4"/>
    <w:rsid w:val="000D239E"/>
    <w:rsid w:val="000D3877"/>
    <w:rsid w:val="000D3D4C"/>
    <w:rsid w:val="000D3E12"/>
    <w:rsid w:val="000D4F51"/>
    <w:rsid w:val="000D57D9"/>
    <w:rsid w:val="000D718B"/>
    <w:rsid w:val="000E0497"/>
    <w:rsid w:val="000E0C46"/>
    <w:rsid w:val="000E1A95"/>
    <w:rsid w:val="000E1B05"/>
    <w:rsid w:val="000E1DF1"/>
    <w:rsid w:val="000E37E2"/>
    <w:rsid w:val="000E596A"/>
    <w:rsid w:val="000F030C"/>
    <w:rsid w:val="000F129C"/>
    <w:rsid w:val="000F1E76"/>
    <w:rsid w:val="000F2366"/>
    <w:rsid w:val="000F2924"/>
    <w:rsid w:val="000F29DB"/>
    <w:rsid w:val="000F2C57"/>
    <w:rsid w:val="000F54B1"/>
    <w:rsid w:val="000F7FAB"/>
    <w:rsid w:val="00101F29"/>
    <w:rsid w:val="001027CE"/>
    <w:rsid w:val="00103442"/>
    <w:rsid w:val="00104129"/>
    <w:rsid w:val="001045FF"/>
    <w:rsid w:val="001056DE"/>
    <w:rsid w:val="001124C0"/>
    <w:rsid w:val="00117BF5"/>
    <w:rsid w:val="00120895"/>
    <w:rsid w:val="00126197"/>
    <w:rsid w:val="00127CE0"/>
    <w:rsid w:val="001310EE"/>
    <w:rsid w:val="0013175F"/>
    <w:rsid w:val="00131D5C"/>
    <w:rsid w:val="001335FF"/>
    <w:rsid w:val="001338FA"/>
    <w:rsid w:val="00133C6F"/>
    <w:rsid w:val="00135C4A"/>
    <w:rsid w:val="00136F57"/>
    <w:rsid w:val="00137C56"/>
    <w:rsid w:val="001412C8"/>
    <w:rsid w:val="001430F4"/>
    <w:rsid w:val="0014623F"/>
    <w:rsid w:val="00146EB5"/>
    <w:rsid w:val="001512B4"/>
    <w:rsid w:val="00151B6A"/>
    <w:rsid w:val="00154D63"/>
    <w:rsid w:val="00155109"/>
    <w:rsid w:val="001600A9"/>
    <w:rsid w:val="00161F17"/>
    <w:rsid w:val="001620A5"/>
    <w:rsid w:val="00164E53"/>
    <w:rsid w:val="0016699D"/>
    <w:rsid w:val="00167D01"/>
    <w:rsid w:val="00170D6E"/>
    <w:rsid w:val="00175159"/>
    <w:rsid w:val="001756B3"/>
    <w:rsid w:val="001760CC"/>
    <w:rsid w:val="00176208"/>
    <w:rsid w:val="00176C25"/>
    <w:rsid w:val="00176CCD"/>
    <w:rsid w:val="0018211B"/>
    <w:rsid w:val="001840D3"/>
    <w:rsid w:val="001863B3"/>
    <w:rsid w:val="001900F8"/>
    <w:rsid w:val="00191258"/>
    <w:rsid w:val="00191265"/>
    <w:rsid w:val="00192680"/>
    <w:rsid w:val="00193037"/>
    <w:rsid w:val="00193A2C"/>
    <w:rsid w:val="00197BBC"/>
    <w:rsid w:val="001A288E"/>
    <w:rsid w:val="001A39AB"/>
    <w:rsid w:val="001A4129"/>
    <w:rsid w:val="001A695D"/>
    <w:rsid w:val="001A7FE6"/>
    <w:rsid w:val="001B3309"/>
    <w:rsid w:val="001B6DC2"/>
    <w:rsid w:val="001B7281"/>
    <w:rsid w:val="001B7ED4"/>
    <w:rsid w:val="001C057A"/>
    <w:rsid w:val="001C0849"/>
    <w:rsid w:val="001C149C"/>
    <w:rsid w:val="001C21AC"/>
    <w:rsid w:val="001C31EA"/>
    <w:rsid w:val="001C47BA"/>
    <w:rsid w:val="001C59EA"/>
    <w:rsid w:val="001C649D"/>
    <w:rsid w:val="001D18D7"/>
    <w:rsid w:val="001D406C"/>
    <w:rsid w:val="001D41EE"/>
    <w:rsid w:val="001D50BF"/>
    <w:rsid w:val="001D6853"/>
    <w:rsid w:val="001E0380"/>
    <w:rsid w:val="001E0830"/>
    <w:rsid w:val="001E13B1"/>
    <w:rsid w:val="001E430E"/>
    <w:rsid w:val="001F3A19"/>
    <w:rsid w:val="001F3D49"/>
    <w:rsid w:val="001F5FDE"/>
    <w:rsid w:val="001F6729"/>
    <w:rsid w:val="001F696C"/>
    <w:rsid w:val="00201964"/>
    <w:rsid w:val="002039AA"/>
    <w:rsid w:val="00215171"/>
    <w:rsid w:val="0021539B"/>
    <w:rsid w:val="00215AB0"/>
    <w:rsid w:val="00215E80"/>
    <w:rsid w:val="002234FD"/>
    <w:rsid w:val="00223ED2"/>
    <w:rsid w:val="002243F3"/>
    <w:rsid w:val="002246A7"/>
    <w:rsid w:val="00230EDF"/>
    <w:rsid w:val="002322CC"/>
    <w:rsid w:val="00233445"/>
    <w:rsid w:val="00234467"/>
    <w:rsid w:val="002379E3"/>
    <w:rsid w:val="00237D8D"/>
    <w:rsid w:val="00241DA2"/>
    <w:rsid w:val="00245883"/>
    <w:rsid w:val="00245D2C"/>
    <w:rsid w:val="002461C8"/>
    <w:rsid w:val="00247B86"/>
    <w:rsid w:val="00247FA9"/>
    <w:rsid w:val="00247FEE"/>
    <w:rsid w:val="00250A42"/>
    <w:rsid w:val="00250E7D"/>
    <w:rsid w:val="00251C1C"/>
    <w:rsid w:val="002527E6"/>
    <w:rsid w:val="00252E15"/>
    <w:rsid w:val="00254E8A"/>
    <w:rsid w:val="002560DB"/>
    <w:rsid w:val="002561EB"/>
    <w:rsid w:val="002565D5"/>
    <w:rsid w:val="00256DB2"/>
    <w:rsid w:val="00260E95"/>
    <w:rsid w:val="00261247"/>
    <w:rsid w:val="00261B9D"/>
    <w:rsid w:val="002622C0"/>
    <w:rsid w:val="00270350"/>
    <w:rsid w:val="0027247F"/>
    <w:rsid w:val="0027679B"/>
    <w:rsid w:val="00276915"/>
    <w:rsid w:val="002778AE"/>
    <w:rsid w:val="00280DED"/>
    <w:rsid w:val="002819A7"/>
    <w:rsid w:val="0028263F"/>
    <w:rsid w:val="0028269A"/>
    <w:rsid w:val="00282B80"/>
    <w:rsid w:val="00283590"/>
    <w:rsid w:val="00285BCC"/>
    <w:rsid w:val="00286973"/>
    <w:rsid w:val="00287518"/>
    <w:rsid w:val="002911F2"/>
    <w:rsid w:val="0029496E"/>
    <w:rsid w:val="002949E2"/>
    <w:rsid w:val="00294C58"/>
    <w:rsid w:val="00294E70"/>
    <w:rsid w:val="0029686B"/>
    <w:rsid w:val="00297038"/>
    <w:rsid w:val="002A1924"/>
    <w:rsid w:val="002A22B4"/>
    <w:rsid w:val="002A47AB"/>
    <w:rsid w:val="002A601D"/>
    <w:rsid w:val="002A7049"/>
    <w:rsid w:val="002A7420"/>
    <w:rsid w:val="002B0F12"/>
    <w:rsid w:val="002B1308"/>
    <w:rsid w:val="002B1E28"/>
    <w:rsid w:val="002B4554"/>
    <w:rsid w:val="002B6DA1"/>
    <w:rsid w:val="002C72D8"/>
    <w:rsid w:val="002C7A18"/>
    <w:rsid w:val="002D11FA"/>
    <w:rsid w:val="002D5CD6"/>
    <w:rsid w:val="002D72C4"/>
    <w:rsid w:val="002D7F23"/>
    <w:rsid w:val="002E0DDF"/>
    <w:rsid w:val="002E17DB"/>
    <w:rsid w:val="002E2906"/>
    <w:rsid w:val="002E3E2A"/>
    <w:rsid w:val="002E5635"/>
    <w:rsid w:val="002E64C3"/>
    <w:rsid w:val="002E6A2C"/>
    <w:rsid w:val="002F1D8C"/>
    <w:rsid w:val="002F21DA"/>
    <w:rsid w:val="002F3404"/>
    <w:rsid w:val="002F381D"/>
    <w:rsid w:val="002F66E7"/>
    <w:rsid w:val="002F7793"/>
    <w:rsid w:val="00301F39"/>
    <w:rsid w:val="00305CAB"/>
    <w:rsid w:val="00313D91"/>
    <w:rsid w:val="00314314"/>
    <w:rsid w:val="00315251"/>
    <w:rsid w:val="00316FC8"/>
    <w:rsid w:val="00317C04"/>
    <w:rsid w:val="003203D3"/>
    <w:rsid w:val="00325926"/>
    <w:rsid w:val="003264CC"/>
    <w:rsid w:val="00327A8A"/>
    <w:rsid w:val="003306B8"/>
    <w:rsid w:val="00334322"/>
    <w:rsid w:val="00335071"/>
    <w:rsid w:val="00336610"/>
    <w:rsid w:val="00342986"/>
    <w:rsid w:val="00343F73"/>
    <w:rsid w:val="00345060"/>
    <w:rsid w:val="003459A2"/>
    <w:rsid w:val="003528B6"/>
    <w:rsid w:val="0035323B"/>
    <w:rsid w:val="00353242"/>
    <w:rsid w:val="00354CD8"/>
    <w:rsid w:val="00356F3C"/>
    <w:rsid w:val="00357CCC"/>
    <w:rsid w:val="003609D2"/>
    <w:rsid w:val="00360C79"/>
    <w:rsid w:val="00361C49"/>
    <w:rsid w:val="0036385E"/>
    <w:rsid w:val="00363F22"/>
    <w:rsid w:val="00365F3B"/>
    <w:rsid w:val="00365F40"/>
    <w:rsid w:val="003735B4"/>
    <w:rsid w:val="00374AD0"/>
    <w:rsid w:val="00375564"/>
    <w:rsid w:val="00375AED"/>
    <w:rsid w:val="003829EF"/>
    <w:rsid w:val="00383191"/>
    <w:rsid w:val="00386DED"/>
    <w:rsid w:val="0038742A"/>
    <w:rsid w:val="00390869"/>
    <w:rsid w:val="003912E7"/>
    <w:rsid w:val="00393947"/>
    <w:rsid w:val="0039598B"/>
    <w:rsid w:val="00397522"/>
    <w:rsid w:val="003A2275"/>
    <w:rsid w:val="003A2E93"/>
    <w:rsid w:val="003A2FAA"/>
    <w:rsid w:val="003A6A4F"/>
    <w:rsid w:val="003A6CF6"/>
    <w:rsid w:val="003A7088"/>
    <w:rsid w:val="003A7610"/>
    <w:rsid w:val="003A7E16"/>
    <w:rsid w:val="003B00DF"/>
    <w:rsid w:val="003B03E1"/>
    <w:rsid w:val="003B1275"/>
    <w:rsid w:val="003B1778"/>
    <w:rsid w:val="003B3F59"/>
    <w:rsid w:val="003B5B9D"/>
    <w:rsid w:val="003B7BDB"/>
    <w:rsid w:val="003C11CB"/>
    <w:rsid w:val="003C2AD1"/>
    <w:rsid w:val="003C36AA"/>
    <w:rsid w:val="003C4DA2"/>
    <w:rsid w:val="003C5BFE"/>
    <w:rsid w:val="003C5C93"/>
    <w:rsid w:val="003C75F3"/>
    <w:rsid w:val="003C76CA"/>
    <w:rsid w:val="003C78A3"/>
    <w:rsid w:val="003E0703"/>
    <w:rsid w:val="003E1867"/>
    <w:rsid w:val="003E34AF"/>
    <w:rsid w:val="003E4DA1"/>
    <w:rsid w:val="003E56B7"/>
    <w:rsid w:val="003E5729"/>
    <w:rsid w:val="003E5E2A"/>
    <w:rsid w:val="003E7AD7"/>
    <w:rsid w:val="003F27C3"/>
    <w:rsid w:val="003F2A2F"/>
    <w:rsid w:val="003F3157"/>
    <w:rsid w:val="003F4EE0"/>
    <w:rsid w:val="003F758B"/>
    <w:rsid w:val="00400100"/>
    <w:rsid w:val="0040143C"/>
    <w:rsid w:val="00402153"/>
    <w:rsid w:val="004022C1"/>
    <w:rsid w:val="00402FC1"/>
    <w:rsid w:val="0040413D"/>
    <w:rsid w:val="004058D0"/>
    <w:rsid w:val="00406145"/>
    <w:rsid w:val="0040792D"/>
    <w:rsid w:val="00410C68"/>
    <w:rsid w:val="00415DAF"/>
    <w:rsid w:val="00421F0A"/>
    <w:rsid w:val="00423DE7"/>
    <w:rsid w:val="00425082"/>
    <w:rsid w:val="004269AE"/>
    <w:rsid w:val="00431DEB"/>
    <w:rsid w:val="00433477"/>
    <w:rsid w:val="004345F6"/>
    <w:rsid w:val="00436EA9"/>
    <w:rsid w:val="004403D7"/>
    <w:rsid w:val="00446B29"/>
    <w:rsid w:val="00450D66"/>
    <w:rsid w:val="00453C19"/>
    <w:rsid w:val="00453F9A"/>
    <w:rsid w:val="004561D6"/>
    <w:rsid w:val="00456E04"/>
    <w:rsid w:val="00463C81"/>
    <w:rsid w:val="00464C08"/>
    <w:rsid w:val="00471862"/>
    <w:rsid w:val="00471E91"/>
    <w:rsid w:val="00474675"/>
    <w:rsid w:val="0047470C"/>
    <w:rsid w:val="00474F0F"/>
    <w:rsid w:val="0047691C"/>
    <w:rsid w:val="00484459"/>
    <w:rsid w:val="00484B61"/>
    <w:rsid w:val="004874AB"/>
    <w:rsid w:val="00490536"/>
    <w:rsid w:val="00491F0C"/>
    <w:rsid w:val="00493C24"/>
    <w:rsid w:val="00497B48"/>
    <w:rsid w:val="004A0E41"/>
    <w:rsid w:val="004A241A"/>
    <w:rsid w:val="004A35F9"/>
    <w:rsid w:val="004A46CF"/>
    <w:rsid w:val="004A619F"/>
    <w:rsid w:val="004B24C1"/>
    <w:rsid w:val="004B267A"/>
    <w:rsid w:val="004B7068"/>
    <w:rsid w:val="004C292F"/>
    <w:rsid w:val="004C4C9F"/>
    <w:rsid w:val="004C54EF"/>
    <w:rsid w:val="004D2845"/>
    <w:rsid w:val="004D347D"/>
    <w:rsid w:val="004D5F4D"/>
    <w:rsid w:val="004D6FF6"/>
    <w:rsid w:val="004E3A64"/>
    <w:rsid w:val="004E3E9E"/>
    <w:rsid w:val="004E4355"/>
    <w:rsid w:val="004E4974"/>
    <w:rsid w:val="004E538F"/>
    <w:rsid w:val="004E5D10"/>
    <w:rsid w:val="004F0731"/>
    <w:rsid w:val="004F243A"/>
    <w:rsid w:val="004F6FE1"/>
    <w:rsid w:val="004F7F91"/>
    <w:rsid w:val="005025C8"/>
    <w:rsid w:val="00502B99"/>
    <w:rsid w:val="00510280"/>
    <w:rsid w:val="00511C86"/>
    <w:rsid w:val="005122F6"/>
    <w:rsid w:val="00513D17"/>
    <w:rsid w:val="00513D73"/>
    <w:rsid w:val="00514A43"/>
    <w:rsid w:val="00516320"/>
    <w:rsid w:val="005174E5"/>
    <w:rsid w:val="00522393"/>
    <w:rsid w:val="00522620"/>
    <w:rsid w:val="00522975"/>
    <w:rsid w:val="00522AEC"/>
    <w:rsid w:val="005243BC"/>
    <w:rsid w:val="00525656"/>
    <w:rsid w:val="005324B7"/>
    <w:rsid w:val="00534C02"/>
    <w:rsid w:val="005354CD"/>
    <w:rsid w:val="0054264B"/>
    <w:rsid w:val="00543786"/>
    <w:rsid w:val="0054583A"/>
    <w:rsid w:val="0054709D"/>
    <w:rsid w:val="005473A2"/>
    <w:rsid w:val="00552B29"/>
    <w:rsid w:val="005533D7"/>
    <w:rsid w:val="00556C19"/>
    <w:rsid w:val="00557249"/>
    <w:rsid w:val="005703DE"/>
    <w:rsid w:val="00574611"/>
    <w:rsid w:val="005750CD"/>
    <w:rsid w:val="00580651"/>
    <w:rsid w:val="0058433B"/>
    <w:rsid w:val="0058464E"/>
    <w:rsid w:val="0058523E"/>
    <w:rsid w:val="00591E7F"/>
    <w:rsid w:val="00592EEA"/>
    <w:rsid w:val="00592F0D"/>
    <w:rsid w:val="00593CE9"/>
    <w:rsid w:val="005960C3"/>
    <w:rsid w:val="00597A1A"/>
    <w:rsid w:val="005A01CB"/>
    <w:rsid w:val="005A3DC4"/>
    <w:rsid w:val="005A58FF"/>
    <w:rsid w:val="005A5EAF"/>
    <w:rsid w:val="005A64C0"/>
    <w:rsid w:val="005B16A9"/>
    <w:rsid w:val="005B2238"/>
    <w:rsid w:val="005B3C11"/>
    <w:rsid w:val="005B3DB0"/>
    <w:rsid w:val="005B48FA"/>
    <w:rsid w:val="005B55B1"/>
    <w:rsid w:val="005B5972"/>
    <w:rsid w:val="005B60A1"/>
    <w:rsid w:val="005C0B30"/>
    <w:rsid w:val="005C0CF8"/>
    <w:rsid w:val="005C1C28"/>
    <w:rsid w:val="005C4177"/>
    <w:rsid w:val="005C446F"/>
    <w:rsid w:val="005C49FC"/>
    <w:rsid w:val="005C6DB5"/>
    <w:rsid w:val="005D05C8"/>
    <w:rsid w:val="005D2448"/>
    <w:rsid w:val="005D4CCB"/>
    <w:rsid w:val="005D665B"/>
    <w:rsid w:val="005E00FA"/>
    <w:rsid w:val="005E0764"/>
    <w:rsid w:val="005E19E7"/>
    <w:rsid w:val="005E1BF4"/>
    <w:rsid w:val="005E5E19"/>
    <w:rsid w:val="005E65FA"/>
    <w:rsid w:val="005F58DD"/>
    <w:rsid w:val="005F6F20"/>
    <w:rsid w:val="005F7178"/>
    <w:rsid w:val="005F7D1B"/>
    <w:rsid w:val="00605049"/>
    <w:rsid w:val="00605FBA"/>
    <w:rsid w:val="00606B30"/>
    <w:rsid w:val="00606BA1"/>
    <w:rsid w:val="006075C0"/>
    <w:rsid w:val="006075FA"/>
    <w:rsid w:val="00607FFE"/>
    <w:rsid w:val="006106A6"/>
    <w:rsid w:val="00613B3B"/>
    <w:rsid w:val="00614350"/>
    <w:rsid w:val="0061489A"/>
    <w:rsid w:val="0061716C"/>
    <w:rsid w:val="006221CD"/>
    <w:rsid w:val="006226CF"/>
    <w:rsid w:val="00622F15"/>
    <w:rsid w:val="00622F72"/>
    <w:rsid w:val="006243A1"/>
    <w:rsid w:val="006246E6"/>
    <w:rsid w:val="00625467"/>
    <w:rsid w:val="00625F6E"/>
    <w:rsid w:val="00630189"/>
    <w:rsid w:val="006308D5"/>
    <w:rsid w:val="006310A0"/>
    <w:rsid w:val="00631479"/>
    <w:rsid w:val="00632E56"/>
    <w:rsid w:val="00634B44"/>
    <w:rsid w:val="00635CBA"/>
    <w:rsid w:val="00635FCE"/>
    <w:rsid w:val="006371E7"/>
    <w:rsid w:val="00641170"/>
    <w:rsid w:val="0064338B"/>
    <w:rsid w:val="00646542"/>
    <w:rsid w:val="00646985"/>
    <w:rsid w:val="006474A7"/>
    <w:rsid w:val="006504F4"/>
    <w:rsid w:val="00652C45"/>
    <w:rsid w:val="00652EC2"/>
    <w:rsid w:val="006549C1"/>
    <w:rsid w:val="00654BC9"/>
    <w:rsid w:val="006552FD"/>
    <w:rsid w:val="00656805"/>
    <w:rsid w:val="00656D05"/>
    <w:rsid w:val="00663AF3"/>
    <w:rsid w:val="00664299"/>
    <w:rsid w:val="0066453A"/>
    <w:rsid w:val="006655DF"/>
    <w:rsid w:val="00666457"/>
    <w:rsid w:val="00666B6C"/>
    <w:rsid w:val="00670803"/>
    <w:rsid w:val="006743B6"/>
    <w:rsid w:val="00675148"/>
    <w:rsid w:val="00675989"/>
    <w:rsid w:val="00676FFD"/>
    <w:rsid w:val="00681D0F"/>
    <w:rsid w:val="00682682"/>
    <w:rsid w:val="00682702"/>
    <w:rsid w:val="00682FDA"/>
    <w:rsid w:val="00684245"/>
    <w:rsid w:val="006874C8"/>
    <w:rsid w:val="00692368"/>
    <w:rsid w:val="00693509"/>
    <w:rsid w:val="0069723D"/>
    <w:rsid w:val="00697C6D"/>
    <w:rsid w:val="006A2EBC"/>
    <w:rsid w:val="006A5EA0"/>
    <w:rsid w:val="006A783B"/>
    <w:rsid w:val="006A7B33"/>
    <w:rsid w:val="006A7C16"/>
    <w:rsid w:val="006B4E13"/>
    <w:rsid w:val="006B6DE0"/>
    <w:rsid w:val="006B75DD"/>
    <w:rsid w:val="006B7E1D"/>
    <w:rsid w:val="006C1674"/>
    <w:rsid w:val="006C3966"/>
    <w:rsid w:val="006C58AA"/>
    <w:rsid w:val="006C6650"/>
    <w:rsid w:val="006C67E0"/>
    <w:rsid w:val="006C7ABA"/>
    <w:rsid w:val="006D0D60"/>
    <w:rsid w:val="006D1122"/>
    <w:rsid w:val="006D1638"/>
    <w:rsid w:val="006D3C00"/>
    <w:rsid w:val="006D4E2D"/>
    <w:rsid w:val="006D7769"/>
    <w:rsid w:val="006D79EF"/>
    <w:rsid w:val="006E20B9"/>
    <w:rsid w:val="006E3675"/>
    <w:rsid w:val="006E39E4"/>
    <w:rsid w:val="006E4A7F"/>
    <w:rsid w:val="006E59D6"/>
    <w:rsid w:val="006E68AA"/>
    <w:rsid w:val="006F1C99"/>
    <w:rsid w:val="006F386A"/>
    <w:rsid w:val="00700E35"/>
    <w:rsid w:val="007022D6"/>
    <w:rsid w:val="00704DF6"/>
    <w:rsid w:val="0070651C"/>
    <w:rsid w:val="00706621"/>
    <w:rsid w:val="00706AE4"/>
    <w:rsid w:val="00706D90"/>
    <w:rsid w:val="007132A3"/>
    <w:rsid w:val="00716421"/>
    <w:rsid w:val="007203DA"/>
    <w:rsid w:val="00722C13"/>
    <w:rsid w:val="007234A6"/>
    <w:rsid w:val="00723B96"/>
    <w:rsid w:val="00723C15"/>
    <w:rsid w:val="00724EFB"/>
    <w:rsid w:val="00725950"/>
    <w:rsid w:val="00727A88"/>
    <w:rsid w:val="00727C14"/>
    <w:rsid w:val="00727C62"/>
    <w:rsid w:val="00732991"/>
    <w:rsid w:val="00740759"/>
    <w:rsid w:val="007419C3"/>
    <w:rsid w:val="0074261E"/>
    <w:rsid w:val="00745D8C"/>
    <w:rsid w:val="007467A7"/>
    <w:rsid w:val="007469DD"/>
    <w:rsid w:val="0074741B"/>
    <w:rsid w:val="0074759E"/>
    <w:rsid w:val="007478EA"/>
    <w:rsid w:val="0075415C"/>
    <w:rsid w:val="00754DC7"/>
    <w:rsid w:val="00757093"/>
    <w:rsid w:val="007602BA"/>
    <w:rsid w:val="0076069D"/>
    <w:rsid w:val="00762B53"/>
    <w:rsid w:val="00763502"/>
    <w:rsid w:val="00766306"/>
    <w:rsid w:val="007677DA"/>
    <w:rsid w:val="0077121F"/>
    <w:rsid w:val="007719AF"/>
    <w:rsid w:val="00773158"/>
    <w:rsid w:val="00773E09"/>
    <w:rsid w:val="00783109"/>
    <w:rsid w:val="0078325C"/>
    <w:rsid w:val="00783ED5"/>
    <w:rsid w:val="00786C3A"/>
    <w:rsid w:val="007913AB"/>
    <w:rsid w:val="007914F7"/>
    <w:rsid w:val="00792A71"/>
    <w:rsid w:val="00792C2F"/>
    <w:rsid w:val="007A0EB0"/>
    <w:rsid w:val="007A2F7C"/>
    <w:rsid w:val="007A39D2"/>
    <w:rsid w:val="007A554D"/>
    <w:rsid w:val="007A5BDE"/>
    <w:rsid w:val="007A7A5F"/>
    <w:rsid w:val="007B1625"/>
    <w:rsid w:val="007B2224"/>
    <w:rsid w:val="007B2E46"/>
    <w:rsid w:val="007B580F"/>
    <w:rsid w:val="007B706E"/>
    <w:rsid w:val="007B71EB"/>
    <w:rsid w:val="007C1013"/>
    <w:rsid w:val="007C1190"/>
    <w:rsid w:val="007C2A45"/>
    <w:rsid w:val="007C6205"/>
    <w:rsid w:val="007C686A"/>
    <w:rsid w:val="007C728E"/>
    <w:rsid w:val="007C7849"/>
    <w:rsid w:val="007D11D4"/>
    <w:rsid w:val="007D2C53"/>
    <w:rsid w:val="007D3636"/>
    <w:rsid w:val="007D3D60"/>
    <w:rsid w:val="007D4B27"/>
    <w:rsid w:val="007D79D1"/>
    <w:rsid w:val="007E0D8D"/>
    <w:rsid w:val="007E1980"/>
    <w:rsid w:val="007E31DF"/>
    <w:rsid w:val="007E3B2A"/>
    <w:rsid w:val="007E3DD2"/>
    <w:rsid w:val="007E4B76"/>
    <w:rsid w:val="007E5E59"/>
    <w:rsid w:val="007E5EA8"/>
    <w:rsid w:val="007F0CF1"/>
    <w:rsid w:val="007F12A5"/>
    <w:rsid w:val="007F1432"/>
    <w:rsid w:val="007F18F7"/>
    <w:rsid w:val="007F2FB9"/>
    <w:rsid w:val="007F4721"/>
    <w:rsid w:val="007F4CC8"/>
    <w:rsid w:val="007F4CF1"/>
    <w:rsid w:val="007F65B8"/>
    <w:rsid w:val="007F758D"/>
    <w:rsid w:val="007F7D52"/>
    <w:rsid w:val="00804E9F"/>
    <w:rsid w:val="0080654C"/>
    <w:rsid w:val="008071C6"/>
    <w:rsid w:val="00807915"/>
    <w:rsid w:val="00816CB6"/>
    <w:rsid w:val="00817A00"/>
    <w:rsid w:val="00820064"/>
    <w:rsid w:val="00822FBC"/>
    <w:rsid w:val="008267F6"/>
    <w:rsid w:val="00827C73"/>
    <w:rsid w:val="008303A4"/>
    <w:rsid w:val="00830D0A"/>
    <w:rsid w:val="008357CA"/>
    <w:rsid w:val="00835DB3"/>
    <w:rsid w:val="0083617B"/>
    <w:rsid w:val="008371BD"/>
    <w:rsid w:val="00837297"/>
    <w:rsid w:val="00837BC8"/>
    <w:rsid w:val="00840F6B"/>
    <w:rsid w:val="00845FD9"/>
    <w:rsid w:val="00847F7C"/>
    <w:rsid w:val="008504A8"/>
    <w:rsid w:val="0085110B"/>
    <w:rsid w:val="0085118A"/>
    <w:rsid w:val="0085282E"/>
    <w:rsid w:val="00853601"/>
    <w:rsid w:val="0086082D"/>
    <w:rsid w:val="008621A0"/>
    <w:rsid w:val="00863F51"/>
    <w:rsid w:val="00870045"/>
    <w:rsid w:val="0087198C"/>
    <w:rsid w:val="00872C1F"/>
    <w:rsid w:val="00873B42"/>
    <w:rsid w:val="00874D55"/>
    <w:rsid w:val="00876E41"/>
    <w:rsid w:val="00877CF6"/>
    <w:rsid w:val="00880671"/>
    <w:rsid w:val="00880C6A"/>
    <w:rsid w:val="008834B3"/>
    <w:rsid w:val="0088508C"/>
    <w:rsid w:val="0088558A"/>
    <w:rsid w:val="008856D8"/>
    <w:rsid w:val="0088732E"/>
    <w:rsid w:val="00890CB1"/>
    <w:rsid w:val="00892AE5"/>
    <w:rsid w:val="00892E82"/>
    <w:rsid w:val="00896235"/>
    <w:rsid w:val="00897746"/>
    <w:rsid w:val="008A0BCC"/>
    <w:rsid w:val="008A1752"/>
    <w:rsid w:val="008A3425"/>
    <w:rsid w:val="008A53B2"/>
    <w:rsid w:val="008A597F"/>
    <w:rsid w:val="008A67E9"/>
    <w:rsid w:val="008B01B1"/>
    <w:rsid w:val="008B0393"/>
    <w:rsid w:val="008B426A"/>
    <w:rsid w:val="008C1B58"/>
    <w:rsid w:val="008C233E"/>
    <w:rsid w:val="008C39AE"/>
    <w:rsid w:val="008C590D"/>
    <w:rsid w:val="008D0864"/>
    <w:rsid w:val="008D1AC2"/>
    <w:rsid w:val="008D25D3"/>
    <w:rsid w:val="008D2AC9"/>
    <w:rsid w:val="008D35B7"/>
    <w:rsid w:val="008D49BB"/>
    <w:rsid w:val="008E031B"/>
    <w:rsid w:val="008E3B50"/>
    <w:rsid w:val="008E475F"/>
    <w:rsid w:val="008E5653"/>
    <w:rsid w:val="008E7029"/>
    <w:rsid w:val="008E7430"/>
    <w:rsid w:val="008E7EF6"/>
    <w:rsid w:val="008E7F59"/>
    <w:rsid w:val="008F1F98"/>
    <w:rsid w:val="008F29A1"/>
    <w:rsid w:val="008F2B82"/>
    <w:rsid w:val="008F6758"/>
    <w:rsid w:val="00900411"/>
    <w:rsid w:val="00901E26"/>
    <w:rsid w:val="00901E2A"/>
    <w:rsid w:val="0090264C"/>
    <w:rsid w:val="0090338D"/>
    <w:rsid w:val="009040DD"/>
    <w:rsid w:val="00905B47"/>
    <w:rsid w:val="00907A47"/>
    <w:rsid w:val="0091121E"/>
    <w:rsid w:val="00911A6B"/>
    <w:rsid w:val="0091331C"/>
    <w:rsid w:val="00913DED"/>
    <w:rsid w:val="0091499F"/>
    <w:rsid w:val="00916B7D"/>
    <w:rsid w:val="00920BA3"/>
    <w:rsid w:val="00921515"/>
    <w:rsid w:val="009216D3"/>
    <w:rsid w:val="0092438D"/>
    <w:rsid w:val="00926D6F"/>
    <w:rsid w:val="009270FA"/>
    <w:rsid w:val="009279DE"/>
    <w:rsid w:val="00927E68"/>
    <w:rsid w:val="00927E71"/>
    <w:rsid w:val="00930116"/>
    <w:rsid w:val="00935AEA"/>
    <w:rsid w:val="0093601E"/>
    <w:rsid w:val="00936ABD"/>
    <w:rsid w:val="00940827"/>
    <w:rsid w:val="00941775"/>
    <w:rsid w:val="00941DEE"/>
    <w:rsid w:val="00941EFD"/>
    <w:rsid w:val="0094212C"/>
    <w:rsid w:val="00947D6D"/>
    <w:rsid w:val="00951D82"/>
    <w:rsid w:val="00952C9B"/>
    <w:rsid w:val="00954689"/>
    <w:rsid w:val="0095767C"/>
    <w:rsid w:val="00960013"/>
    <w:rsid w:val="0096088A"/>
    <w:rsid w:val="00961014"/>
    <w:rsid w:val="009617C9"/>
    <w:rsid w:val="00961C93"/>
    <w:rsid w:val="0096285A"/>
    <w:rsid w:val="00965324"/>
    <w:rsid w:val="009655AF"/>
    <w:rsid w:val="0097091E"/>
    <w:rsid w:val="009735AC"/>
    <w:rsid w:val="009743B6"/>
    <w:rsid w:val="009760D3"/>
    <w:rsid w:val="00977132"/>
    <w:rsid w:val="0097782B"/>
    <w:rsid w:val="00977AF1"/>
    <w:rsid w:val="009816D7"/>
    <w:rsid w:val="00981A4B"/>
    <w:rsid w:val="00982501"/>
    <w:rsid w:val="00984BC3"/>
    <w:rsid w:val="00985E82"/>
    <w:rsid w:val="009877D3"/>
    <w:rsid w:val="009913C0"/>
    <w:rsid w:val="00994E8F"/>
    <w:rsid w:val="009951DC"/>
    <w:rsid w:val="009959BB"/>
    <w:rsid w:val="00997158"/>
    <w:rsid w:val="009978BB"/>
    <w:rsid w:val="009A1F1C"/>
    <w:rsid w:val="009A3A7C"/>
    <w:rsid w:val="009A4F86"/>
    <w:rsid w:val="009A4FFE"/>
    <w:rsid w:val="009B21DA"/>
    <w:rsid w:val="009B27E2"/>
    <w:rsid w:val="009B2ADB"/>
    <w:rsid w:val="009B56C4"/>
    <w:rsid w:val="009B5CC2"/>
    <w:rsid w:val="009B603A"/>
    <w:rsid w:val="009B6A41"/>
    <w:rsid w:val="009C068B"/>
    <w:rsid w:val="009C1092"/>
    <w:rsid w:val="009C2D0E"/>
    <w:rsid w:val="009C3DAC"/>
    <w:rsid w:val="009C42E0"/>
    <w:rsid w:val="009C5317"/>
    <w:rsid w:val="009C5D19"/>
    <w:rsid w:val="009C7DDC"/>
    <w:rsid w:val="009D4970"/>
    <w:rsid w:val="009D4E7A"/>
    <w:rsid w:val="009D5362"/>
    <w:rsid w:val="009D5FF4"/>
    <w:rsid w:val="009D6290"/>
    <w:rsid w:val="009D70C8"/>
    <w:rsid w:val="009E1415"/>
    <w:rsid w:val="009E1FF3"/>
    <w:rsid w:val="009E35C7"/>
    <w:rsid w:val="009E4298"/>
    <w:rsid w:val="009E53DB"/>
    <w:rsid w:val="009E5E1A"/>
    <w:rsid w:val="009E6116"/>
    <w:rsid w:val="009E62E6"/>
    <w:rsid w:val="009F24DB"/>
    <w:rsid w:val="009F4A35"/>
    <w:rsid w:val="009F5D99"/>
    <w:rsid w:val="00A00B96"/>
    <w:rsid w:val="00A02E43"/>
    <w:rsid w:val="00A04D2A"/>
    <w:rsid w:val="00A065F9"/>
    <w:rsid w:val="00A07F34"/>
    <w:rsid w:val="00A1170F"/>
    <w:rsid w:val="00A12A6B"/>
    <w:rsid w:val="00A22154"/>
    <w:rsid w:val="00A22C0E"/>
    <w:rsid w:val="00A22D24"/>
    <w:rsid w:val="00A23123"/>
    <w:rsid w:val="00A24026"/>
    <w:rsid w:val="00A25C38"/>
    <w:rsid w:val="00A364D0"/>
    <w:rsid w:val="00A36BBE"/>
    <w:rsid w:val="00A37598"/>
    <w:rsid w:val="00A37FAB"/>
    <w:rsid w:val="00A4168F"/>
    <w:rsid w:val="00A4307A"/>
    <w:rsid w:val="00A43E24"/>
    <w:rsid w:val="00A47DE7"/>
    <w:rsid w:val="00A47EBB"/>
    <w:rsid w:val="00A51CDD"/>
    <w:rsid w:val="00A51EAD"/>
    <w:rsid w:val="00A572BC"/>
    <w:rsid w:val="00A57757"/>
    <w:rsid w:val="00A64F41"/>
    <w:rsid w:val="00A6730D"/>
    <w:rsid w:val="00A704F0"/>
    <w:rsid w:val="00A7098E"/>
    <w:rsid w:val="00A71625"/>
    <w:rsid w:val="00A71B9B"/>
    <w:rsid w:val="00A74ADA"/>
    <w:rsid w:val="00A751C7"/>
    <w:rsid w:val="00A76BE2"/>
    <w:rsid w:val="00A8248C"/>
    <w:rsid w:val="00A87844"/>
    <w:rsid w:val="00A91174"/>
    <w:rsid w:val="00A91F89"/>
    <w:rsid w:val="00A94D41"/>
    <w:rsid w:val="00A9606D"/>
    <w:rsid w:val="00A97AEA"/>
    <w:rsid w:val="00AA038C"/>
    <w:rsid w:val="00AA0DB4"/>
    <w:rsid w:val="00AA16A9"/>
    <w:rsid w:val="00AA6423"/>
    <w:rsid w:val="00AA7A09"/>
    <w:rsid w:val="00AB01FD"/>
    <w:rsid w:val="00AB3B50"/>
    <w:rsid w:val="00AB403B"/>
    <w:rsid w:val="00AC05B1"/>
    <w:rsid w:val="00AC6931"/>
    <w:rsid w:val="00AD0FCB"/>
    <w:rsid w:val="00AD33CD"/>
    <w:rsid w:val="00AD356C"/>
    <w:rsid w:val="00AD4380"/>
    <w:rsid w:val="00AD6B77"/>
    <w:rsid w:val="00AE2914"/>
    <w:rsid w:val="00AE294B"/>
    <w:rsid w:val="00AE4A95"/>
    <w:rsid w:val="00AE54FE"/>
    <w:rsid w:val="00AE6D15"/>
    <w:rsid w:val="00AE7056"/>
    <w:rsid w:val="00AE78C9"/>
    <w:rsid w:val="00AF1759"/>
    <w:rsid w:val="00AF7AEC"/>
    <w:rsid w:val="00AF7B93"/>
    <w:rsid w:val="00B0176D"/>
    <w:rsid w:val="00B01795"/>
    <w:rsid w:val="00B01AF4"/>
    <w:rsid w:val="00B02BDF"/>
    <w:rsid w:val="00B036C4"/>
    <w:rsid w:val="00B04182"/>
    <w:rsid w:val="00B07AE3"/>
    <w:rsid w:val="00B11430"/>
    <w:rsid w:val="00B1529E"/>
    <w:rsid w:val="00B210F1"/>
    <w:rsid w:val="00B239B5"/>
    <w:rsid w:val="00B23C32"/>
    <w:rsid w:val="00B23F17"/>
    <w:rsid w:val="00B25754"/>
    <w:rsid w:val="00B25814"/>
    <w:rsid w:val="00B27055"/>
    <w:rsid w:val="00B27407"/>
    <w:rsid w:val="00B300E6"/>
    <w:rsid w:val="00B318FE"/>
    <w:rsid w:val="00B32664"/>
    <w:rsid w:val="00B353EB"/>
    <w:rsid w:val="00B35487"/>
    <w:rsid w:val="00B40F6D"/>
    <w:rsid w:val="00B41B75"/>
    <w:rsid w:val="00B439C4"/>
    <w:rsid w:val="00B4535E"/>
    <w:rsid w:val="00B46FCC"/>
    <w:rsid w:val="00B4735E"/>
    <w:rsid w:val="00B51D97"/>
    <w:rsid w:val="00B523CA"/>
    <w:rsid w:val="00B52A8C"/>
    <w:rsid w:val="00B5520E"/>
    <w:rsid w:val="00B55F5D"/>
    <w:rsid w:val="00B6204C"/>
    <w:rsid w:val="00B62774"/>
    <w:rsid w:val="00B636A8"/>
    <w:rsid w:val="00B665C6"/>
    <w:rsid w:val="00B6673E"/>
    <w:rsid w:val="00B676D1"/>
    <w:rsid w:val="00B73D7A"/>
    <w:rsid w:val="00B759EB"/>
    <w:rsid w:val="00B75FC3"/>
    <w:rsid w:val="00B803FE"/>
    <w:rsid w:val="00B805AF"/>
    <w:rsid w:val="00B84B19"/>
    <w:rsid w:val="00B85A1D"/>
    <w:rsid w:val="00B869EC"/>
    <w:rsid w:val="00B9180D"/>
    <w:rsid w:val="00B92F75"/>
    <w:rsid w:val="00B9397A"/>
    <w:rsid w:val="00B9633D"/>
    <w:rsid w:val="00B96893"/>
    <w:rsid w:val="00B96B3E"/>
    <w:rsid w:val="00BA18A7"/>
    <w:rsid w:val="00BA1994"/>
    <w:rsid w:val="00BA2776"/>
    <w:rsid w:val="00BA2EBE"/>
    <w:rsid w:val="00BA7B81"/>
    <w:rsid w:val="00BB0F28"/>
    <w:rsid w:val="00BB23E1"/>
    <w:rsid w:val="00BB458A"/>
    <w:rsid w:val="00BB7C86"/>
    <w:rsid w:val="00BC2F68"/>
    <w:rsid w:val="00BC47FF"/>
    <w:rsid w:val="00BC497D"/>
    <w:rsid w:val="00BC4A25"/>
    <w:rsid w:val="00BC4E10"/>
    <w:rsid w:val="00BC667C"/>
    <w:rsid w:val="00BD00D3"/>
    <w:rsid w:val="00BD1578"/>
    <w:rsid w:val="00BD1659"/>
    <w:rsid w:val="00BD3AA9"/>
    <w:rsid w:val="00BD4A18"/>
    <w:rsid w:val="00BD6DB2"/>
    <w:rsid w:val="00BD780D"/>
    <w:rsid w:val="00BE11CF"/>
    <w:rsid w:val="00BE21AB"/>
    <w:rsid w:val="00BE4129"/>
    <w:rsid w:val="00BE55CB"/>
    <w:rsid w:val="00BF05C8"/>
    <w:rsid w:val="00BF3E3A"/>
    <w:rsid w:val="00BF4D17"/>
    <w:rsid w:val="00BF617A"/>
    <w:rsid w:val="00BF6924"/>
    <w:rsid w:val="00C0379D"/>
    <w:rsid w:val="00C03931"/>
    <w:rsid w:val="00C05003"/>
    <w:rsid w:val="00C05FE3"/>
    <w:rsid w:val="00C06485"/>
    <w:rsid w:val="00C064E1"/>
    <w:rsid w:val="00C06A9A"/>
    <w:rsid w:val="00C07B9E"/>
    <w:rsid w:val="00C2136D"/>
    <w:rsid w:val="00C214EE"/>
    <w:rsid w:val="00C2314B"/>
    <w:rsid w:val="00C2341D"/>
    <w:rsid w:val="00C2428D"/>
    <w:rsid w:val="00C24971"/>
    <w:rsid w:val="00C26BE5"/>
    <w:rsid w:val="00C26E4D"/>
    <w:rsid w:val="00C27909"/>
    <w:rsid w:val="00C27B03"/>
    <w:rsid w:val="00C27C57"/>
    <w:rsid w:val="00C3069F"/>
    <w:rsid w:val="00C314E1"/>
    <w:rsid w:val="00C335D1"/>
    <w:rsid w:val="00C34397"/>
    <w:rsid w:val="00C351F0"/>
    <w:rsid w:val="00C35D50"/>
    <w:rsid w:val="00C40419"/>
    <w:rsid w:val="00C4095D"/>
    <w:rsid w:val="00C41B6D"/>
    <w:rsid w:val="00C4374A"/>
    <w:rsid w:val="00C43E10"/>
    <w:rsid w:val="00C457CF"/>
    <w:rsid w:val="00C45884"/>
    <w:rsid w:val="00C46D08"/>
    <w:rsid w:val="00C50D90"/>
    <w:rsid w:val="00C516E0"/>
    <w:rsid w:val="00C53AB3"/>
    <w:rsid w:val="00C54356"/>
    <w:rsid w:val="00C55DFE"/>
    <w:rsid w:val="00C56035"/>
    <w:rsid w:val="00C575C0"/>
    <w:rsid w:val="00C601D2"/>
    <w:rsid w:val="00C604C4"/>
    <w:rsid w:val="00C63BD7"/>
    <w:rsid w:val="00C64D66"/>
    <w:rsid w:val="00C657AB"/>
    <w:rsid w:val="00C65BCC"/>
    <w:rsid w:val="00C6667B"/>
    <w:rsid w:val="00C66970"/>
    <w:rsid w:val="00C6798D"/>
    <w:rsid w:val="00C71DBC"/>
    <w:rsid w:val="00C745DF"/>
    <w:rsid w:val="00C752F9"/>
    <w:rsid w:val="00C804EE"/>
    <w:rsid w:val="00C81912"/>
    <w:rsid w:val="00C851F8"/>
    <w:rsid w:val="00C8599A"/>
    <w:rsid w:val="00C863E7"/>
    <w:rsid w:val="00C8691C"/>
    <w:rsid w:val="00C877AA"/>
    <w:rsid w:val="00C87F24"/>
    <w:rsid w:val="00C90104"/>
    <w:rsid w:val="00C94120"/>
    <w:rsid w:val="00C955DE"/>
    <w:rsid w:val="00CA0BE9"/>
    <w:rsid w:val="00CA130B"/>
    <w:rsid w:val="00CA168A"/>
    <w:rsid w:val="00CA2FEC"/>
    <w:rsid w:val="00CA357E"/>
    <w:rsid w:val="00CA44F9"/>
    <w:rsid w:val="00CA4A69"/>
    <w:rsid w:val="00CA5228"/>
    <w:rsid w:val="00CA6A6E"/>
    <w:rsid w:val="00CB2F22"/>
    <w:rsid w:val="00CB3929"/>
    <w:rsid w:val="00CC3E0C"/>
    <w:rsid w:val="00CC3FDF"/>
    <w:rsid w:val="00CC58D3"/>
    <w:rsid w:val="00CC58D4"/>
    <w:rsid w:val="00CC5BB8"/>
    <w:rsid w:val="00CC784D"/>
    <w:rsid w:val="00CD0972"/>
    <w:rsid w:val="00CD11B2"/>
    <w:rsid w:val="00CD1EBF"/>
    <w:rsid w:val="00CD23FC"/>
    <w:rsid w:val="00CD269E"/>
    <w:rsid w:val="00CD38F8"/>
    <w:rsid w:val="00CD60F3"/>
    <w:rsid w:val="00CE39ED"/>
    <w:rsid w:val="00CE4B23"/>
    <w:rsid w:val="00CE5471"/>
    <w:rsid w:val="00CE6BA9"/>
    <w:rsid w:val="00CE7BB4"/>
    <w:rsid w:val="00D015E0"/>
    <w:rsid w:val="00D01A33"/>
    <w:rsid w:val="00D0337B"/>
    <w:rsid w:val="00D054F9"/>
    <w:rsid w:val="00D079B2"/>
    <w:rsid w:val="00D114E9"/>
    <w:rsid w:val="00D12B88"/>
    <w:rsid w:val="00D13B10"/>
    <w:rsid w:val="00D14D31"/>
    <w:rsid w:val="00D165C1"/>
    <w:rsid w:val="00D17A8A"/>
    <w:rsid w:val="00D222D5"/>
    <w:rsid w:val="00D24553"/>
    <w:rsid w:val="00D26996"/>
    <w:rsid w:val="00D27E82"/>
    <w:rsid w:val="00D27F03"/>
    <w:rsid w:val="00D317C7"/>
    <w:rsid w:val="00D3223C"/>
    <w:rsid w:val="00D32BE4"/>
    <w:rsid w:val="00D35213"/>
    <w:rsid w:val="00D415A0"/>
    <w:rsid w:val="00D41820"/>
    <w:rsid w:val="00D4262C"/>
    <w:rsid w:val="00D429C6"/>
    <w:rsid w:val="00D4395A"/>
    <w:rsid w:val="00D4759C"/>
    <w:rsid w:val="00D47748"/>
    <w:rsid w:val="00D52761"/>
    <w:rsid w:val="00D54CC3"/>
    <w:rsid w:val="00D6041A"/>
    <w:rsid w:val="00D6177B"/>
    <w:rsid w:val="00D633EB"/>
    <w:rsid w:val="00D71A11"/>
    <w:rsid w:val="00D72206"/>
    <w:rsid w:val="00D73320"/>
    <w:rsid w:val="00D760E4"/>
    <w:rsid w:val="00D76314"/>
    <w:rsid w:val="00D763C5"/>
    <w:rsid w:val="00D779EB"/>
    <w:rsid w:val="00D80968"/>
    <w:rsid w:val="00D80D9B"/>
    <w:rsid w:val="00D829B2"/>
    <w:rsid w:val="00D82FF7"/>
    <w:rsid w:val="00D8367E"/>
    <w:rsid w:val="00D8454B"/>
    <w:rsid w:val="00D847FE"/>
    <w:rsid w:val="00D8603C"/>
    <w:rsid w:val="00D8625F"/>
    <w:rsid w:val="00D91B14"/>
    <w:rsid w:val="00D94BAC"/>
    <w:rsid w:val="00D9526D"/>
    <w:rsid w:val="00D964EA"/>
    <w:rsid w:val="00D966D0"/>
    <w:rsid w:val="00D96BE8"/>
    <w:rsid w:val="00D972AB"/>
    <w:rsid w:val="00D975D7"/>
    <w:rsid w:val="00DA0C59"/>
    <w:rsid w:val="00DA1E55"/>
    <w:rsid w:val="00DA34D7"/>
    <w:rsid w:val="00DA3991"/>
    <w:rsid w:val="00DA44BA"/>
    <w:rsid w:val="00DA6952"/>
    <w:rsid w:val="00DA786B"/>
    <w:rsid w:val="00DB2295"/>
    <w:rsid w:val="00DB28E7"/>
    <w:rsid w:val="00DB2B1E"/>
    <w:rsid w:val="00DB5833"/>
    <w:rsid w:val="00DB6AF9"/>
    <w:rsid w:val="00DB7E03"/>
    <w:rsid w:val="00DB7E6C"/>
    <w:rsid w:val="00DC31D1"/>
    <w:rsid w:val="00DC59B1"/>
    <w:rsid w:val="00DC67E7"/>
    <w:rsid w:val="00DC6B43"/>
    <w:rsid w:val="00DC7957"/>
    <w:rsid w:val="00DD0A90"/>
    <w:rsid w:val="00DD37C7"/>
    <w:rsid w:val="00DD4302"/>
    <w:rsid w:val="00DD528E"/>
    <w:rsid w:val="00DD54F1"/>
    <w:rsid w:val="00DD5A29"/>
    <w:rsid w:val="00DD5D9D"/>
    <w:rsid w:val="00DE0FC7"/>
    <w:rsid w:val="00DE35CB"/>
    <w:rsid w:val="00DF21E9"/>
    <w:rsid w:val="00E00D9E"/>
    <w:rsid w:val="00E00F14"/>
    <w:rsid w:val="00E02093"/>
    <w:rsid w:val="00E06386"/>
    <w:rsid w:val="00E06EF0"/>
    <w:rsid w:val="00E077D0"/>
    <w:rsid w:val="00E126F1"/>
    <w:rsid w:val="00E14E30"/>
    <w:rsid w:val="00E20568"/>
    <w:rsid w:val="00E207FB"/>
    <w:rsid w:val="00E2135B"/>
    <w:rsid w:val="00E21461"/>
    <w:rsid w:val="00E24EB4"/>
    <w:rsid w:val="00E26D2A"/>
    <w:rsid w:val="00E279E8"/>
    <w:rsid w:val="00E320ED"/>
    <w:rsid w:val="00E32B32"/>
    <w:rsid w:val="00E33AFB"/>
    <w:rsid w:val="00E34218"/>
    <w:rsid w:val="00E34289"/>
    <w:rsid w:val="00E356CC"/>
    <w:rsid w:val="00E36623"/>
    <w:rsid w:val="00E4191D"/>
    <w:rsid w:val="00E46282"/>
    <w:rsid w:val="00E47749"/>
    <w:rsid w:val="00E51474"/>
    <w:rsid w:val="00E51844"/>
    <w:rsid w:val="00E51B82"/>
    <w:rsid w:val="00E5216E"/>
    <w:rsid w:val="00E60460"/>
    <w:rsid w:val="00E611F0"/>
    <w:rsid w:val="00E62F6A"/>
    <w:rsid w:val="00E64FC3"/>
    <w:rsid w:val="00E71E1E"/>
    <w:rsid w:val="00E74589"/>
    <w:rsid w:val="00E757C2"/>
    <w:rsid w:val="00E767BB"/>
    <w:rsid w:val="00E76F85"/>
    <w:rsid w:val="00E82344"/>
    <w:rsid w:val="00E83DA9"/>
    <w:rsid w:val="00E844F1"/>
    <w:rsid w:val="00E84C82"/>
    <w:rsid w:val="00E84D64"/>
    <w:rsid w:val="00E87354"/>
    <w:rsid w:val="00E87408"/>
    <w:rsid w:val="00E914C4"/>
    <w:rsid w:val="00E92275"/>
    <w:rsid w:val="00E934F5"/>
    <w:rsid w:val="00E955B9"/>
    <w:rsid w:val="00E96043"/>
    <w:rsid w:val="00E964D1"/>
    <w:rsid w:val="00E96961"/>
    <w:rsid w:val="00EA35CB"/>
    <w:rsid w:val="00EA3B4E"/>
    <w:rsid w:val="00EA72EC"/>
    <w:rsid w:val="00EB10EC"/>
    <w:rsid w:val="00EB11CB"/>
    <w:rsid w:val="00EB219C"/>
    <w:rsid w:val="00EB275A"/>
    <w:rsid w:val="00EB32DC"/>
    <w:rsid w:val="00EB52FB"/>
    <w:rsid w:val="00EB66B5"/>
    <w:rsid w:val="00EB733F"/>
    <w:rsid w:val="00EB786A"/>
    <w:rsid w:val="00EC1578"/>
    <w:rsid w:val="00EC1C72"/>
    <w:rsid w:val="00EC3CC9"/>
    <w:rsid w:val="00EC5057"/>
    <w:rsid w:val="00EC5215"/>
    <w:rsid w:val="00EC667B"/>
    <w:rsid w:val="00EC680A"/>
    <w:rsid w:val="00ED0DC9"/>
    <w:rsid w:val="00ED65F9"/>
    <w:rsid w:val="00ED71AB"/>
    <w:rsid w:val="00ED7DBA"/>
    <w:rsid w:val="00EE2BED"/>
    <w:rsid w:val="00EE374B"/>
    <w:rsid w:val="00EE3B82"/>
    <w:rsid w:val="00EE530D"/>
    <w:rsid w:val="00EE618A"/>
    <w:rsid w:val="00EE62C9"/>
    <w:rsid w:val="00EE7014"/>
    <w:rsid w:val="00EE7C81"/>
    <w:rsid w:val="00EF2C92"/>
    <w:rsid w:val="00EF41EE"/>
    <w:rsid w:val="00EF593D"/>
    <w:rsid w:val="00EF5C53"/>
    <w:rsid w:val="00EF7D23"/>
    <w:rsid w:val="00F03A54"/>
    <w:rsid w:val="00F0485F"/>
    <w:rsid w:val="00F04995"/>
    <w:rsid w:val="00F05385"/>
    <w:rsid w:val="00F057EE"/>
    <w:rsid w:val="00F0599E"/>
    <w:rsid w:val="00F05BFE"/>
    <w:rsid w:val="00F07A7E"/>
    <w:rsid w:val="00F11BB5"/>
    <w:rsid w:val="00F12348"/>
    <w:rsid w:val="00F13332"/>
    <w:rsid w:val="00F1417B"/>
    <w:rsid w:val="00F22D44"/>
    <w:rsid w:val="00F23111"/>
    <w:rsid w:val="00F23BF6"/>
    <w:rsid w:val="00F27102"/>
    <w:rsid w:val="00F27E7D"/>
    <w:rsid w:val="00F31D9F"/>
    <w:rsid w:val="00F31EE1"/>
    <w:rsid w:val="00F32660"/>
    <w:rsid w:val="00F34B99"/>
    <w:rsid w:val="00F36B90"/>
    <w:rsid w:val="00F40DB5"/>
    <w:rsid w:val="00F42381"/>
    <w:rsid w:val="00F43671"/>
    <w:rsid w:val="00F44689"/>
    <w:rsid w:val="00F44A36"/>
    <w:rsid w:val="00F44AA5"/>
    <w:rsid w:val="00F44B3A"/>
    <w:rsid w:val="00F45628"/>
    <w:rsid w:val="00F46684"/>
    <w:rsid w:val="00F47417"/>
    <w:rsid w:val="00F50235"/>
    <w:rsid w:val="00F5061A"/>
    <w:rsid w:val="00F52DAB"/>
    <w:rsid w:val="00F53D16"/>
    <w:rsid w:val="00F543F0"/>
    <w:rsid w:val="00F5663D"/>
    <w:rsid w:val="00F57789"/>
    <w:rsid w:val="00F62406"/>
    <w:rsid w:val="00F628A5"/>
    <w:rsid w:val="00F6330F"/>
    <w:rsid w:val="00F641AB"/>
    <w:rsid w:val="00F658BC"/>
    <w:rsid w:val="00F6686B"/>
    <w:rsid w:val="00F707C7"/>
    <w:rsid w:val="00F72AE2"/>
    <w:rsid w:val="00F747EC"/>
    <w:rsid w:val="00F77EFA"/>
    <w:rsid w:val="00F81C3B"/>
    <w:rsid w:val="00F81D29"/>
    <w:rsid w:val="00F84599"/>
    <w:rsid w:val="00F84C05"/>
    <w:rsid w:val="00F8585A"/>
    <w:rsid w:val="00F86704"/>
    <w:rsid w:val="00F87461"/>
    <w:rsid w:val="00F91408"/>
    <w:rsid w:val="00F91C4D"/>
    <w:rsid w:val="00F92FD9"/>
    <w:rsid w:val="00F9415D"/>
    <w:rsid w:val="00F94CF0"/>
    <w:rsid w:val="00F95D06"/>
    <w:rsid w:val="00F96854"/>
    <w:rsid w:val="00F979FF"/>
    <w:rsid w:val="00FA052E"/>
    <w:rsid w:val="00FA18B3"/>
    <w:rsid w:val="00FA2A7C"/>
    <w:rsid w:val="00FA2C2C"/>
    <w:rsid w:val="00FA46C0"/>
    <w:rsid w:val="00FA53CA"/>
    <w:rsid w:val="00FA6684"/>
    <w:rsid w:val="00FA6829"/>
    <w:rsid w:val="00FA731E"/>
    <w:rsid w:val="00FB1185"/>
    <w:rsid w:val="00FB2B38"/>
    <w:rsid w:val="00FB307F"/>
    <w:rsid w:val="00FB4D6C"/>
    <w:rsid w:val="00FB5189"/>
    <w:rsid w:val="00FC0E24"/>
    <w:rsid w:val="00FC290D"/>
    <w:rsid w:val="00FC6358"/>
    <w:rsid w:val="00FD1FB3"/>
    <w:rsid w:val="00FD3140"/>
    <w:rsid w:val="00FD320D"/>
    <w:rsid w:val="00FD3D44"/>
    <w:rsid w:val="00FD7EB6"/>
    <w:rsid w:val="00FE00BC"/>
    <w:rsid w:val="00FE10C7"/>
    <w:rsid w:val="00FE17F5"/>
    <w:rsid w:val="00FE23DE"/>
    <w:rsid w:val="00FE4289"/>
    <w:rsid w:val="00FF1889"/>
    <w:rsid w:val="00FF328F"/>
    <w:rsid w:val="00FF450E"/>
    <w:rsid w:val="00FF57D0"/>
    <w:rsid w:val="00FF6C48"/>
    <w:rsid w:val="01312139"/>
    <w:rsid w:val="09BA14AD"/>
    <w:rsid w:val="0BEC1F3B"/>
    <w:rsid w:val="0C01716A"/>
    <w:rsid w:val="0C1B23A6"/>
    <w:rsid w:val="0C6414C9"/>
    <w:rsid w:val="0C8B09C4"/>
    <w:rsid w:val="0D8B4409"/>
    <w:rsid w:val="0DE57E83"/>
    <w:rsid w:val="10450F3D"/>
    <w:rsid w:val="18C3237D"/>
    <w:rsid w:val="1C6A68C3"/>
    <w:rsid w:val="20024E90"/>
    <w:rsid w:val="20411F19"/>
    <w:rsid w:val="24EA799A"/>
    <w:rsid w:val="256476C6"/>
    <w:rsid w:val="2650413E"/>
    <w:rsid w:val="28ED65A3"/>
    <w:rsid w:val="29CC1639"/>
    <w:rsid w:val="2F52216B"/>
    <w:rsid w:val="33186D56"/>
    <w:rsid w:val="355E66A6"/>
    <w:rsid w:val="36A12C7E"/>
    <w:rsid w:val="396B6F62"/>
    <w:rsid w:val="3E491264"/>
    <w:rsid w:val="3FF2733B"/>
    <w:rsid w:val="40BA3D53"/>
    <w:rsid w:val="41C23A5D"/>
    <w:rsid w:val="46F452C5"/>
    <w:rsid w:val="477B76F4"/>
    <w:rsid w:val="4ECC2119"/>
    <w:rsid w:val="50123743"/>
    <w:rsid w:val="50C41545"/>
    <w:rsid w:val="578A5966"/>
    <w:rsid w:val="58B8779D"/>
    <w:rsid w:val="5CFC2606"/>
    <w:rsid w:val="5D425BF7"/>
    <w:rsid w:val="5E8E511D"/>
    <w:rsid w:val="623B1C6C"/>
    <w:rsid w:val="66414166"/>
    <w:rsid w:val="671C39B6"/>
    <w:rsid w:val="67E31514"/>
    <w:rsid w:val="68B75D04"/>
    <w:rsid w:val="6AFEC1C1"/>
    <w:rsid w:val="6FFF0BB4"/>
    <w:rsid w:val="7212443E"/>
    <w:rsid w:val="737D7E18"/>
    <w:rsid w:val="761C58EF"/>
    <w:rsid w:val="7652226A"/>
    <w:rsid w:val="76D60135"/>
    <w:rsid w:val="78FF77E5"/>
    <w:rsid w:val="7A0F573F"/>
    <w:rsid w:val="C6EED6B4"/>
    <w:rsid w:val="E7BD83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41"/>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Body Text"/>
    <w:basedOn w:val="1"/>
    <w:qFormat/>
    <w:uiPriority w:val="0"/>
    <w:pPr>
      <w:spacing w:after="120"/>
    </w:pPr>
    <w:rPr>
      <w:rFonts w:eastAsia="Times New Roman"/>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qFormat/>
    <w:uiPriority w:val="39"/>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semiHidden/>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paragraph" w:styleId="31">
    <w:name w:val="annotation subject"/>
    <w:basedOn w:val="7"/>
    <w:next w:val="7"/>
    <w:link w:val="43"/>
    <w:qFormat/>
    <w:uiPriority w:val="0"/>
    <w:rPr>
      <w:b/>
      <w:bCs/>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800080"/>
      <w:u w:val="single"/>
    </w:rPr>
  </w:style>
  <w:style w:type="character" w:styleId="38">
    <w:name w:val="Hyperlink"/>
    <w:qFormat/>
    <w:uiPriority w:val="99"/>
    <w:rPr>
      <w:color w:val="0000FF"/>
      <w:spacing w:val="0"/>
      <w:w w:val="100"/>
      <w:szCs w:val="21"/>
      <w:u w:val="single"/>
    </w:rPr>
  </w:style>
  <w:style w:type="character" w:styleId="39">
    <w:name w:val="annotation reference"/>
    <w:qFormat/>
    <w:uiPriority w:val="0"/>
    <w:rPr>
      <w:sz w:val="21"/>
      <w:szCs w:val="21"/>
    </w:rPr>
  </w:style>
  <w:style w:type="character" w:styleId="40">
    <w:name w:val="footnote reference"/>
    <w:semiHidden/>
    <w:qFormat/>
    <w:uiPriority w:val="0"/>
    <w:rPr>
      <w:vertAlign w:val="superscript"/>
    </w:rPr>
  </w:style>
  <w:style w:type="character" w:customStyle="1" w:styleId="41">
    <w:name w:val="批注文字 Char"/>
    <w:link w:val="7"/>
    <w:qFormat/>
    <w:uiPriority w:val="0"/>
    <w:rPr>
      <w:kern w:val="2"/>
      <w:sz w:val="21"/>
      <w:szCs w:val="24"/>
    </w:rPr>
  </w:style>
  <w:style w:type="character" w:customStyle="1" w:styleId="42">
    <w:name w:val="段 Char"/>
    <w:link w:val="23"/>
    <w:qFormat/>
    <w:uiPriority w:val="0"/>
    <w:rPr>
      <w:rFonts w:ascii="宋体"/>
      <w:sz w:val="21"/>
      <w:lang w:val="en-US" w:eastAsia="zh-CN" w:bidi="ar-SA"/>
    </w:rPr>
  </w:style>
  <w:style w:type="character" w:customStyle="1" w:styleId="43">
    <w:name w:val="批注主题 Char"/>
    <w:link w:val="31"/>
    <w:qFormat/>
    <w:uiPriority w:val="0"/>
    <w:rPr>
      <w:b/>
      <w:bCs/>
      <w:kern w:val="2"/>
      <w:sz w:val="21"/>
      <w:szCs w:val="24"/>
    </w:rPr>
  </w:style>
  <w:style w:type="character" w:customStyle="1" w:styleId="44">
    <w:name w:val="发布"/>
    <w:qFormat/>
    <w:uiPriority w:val="0"/>
    <w:rPr>
      <w:rFonts w:ascii="黑体" w:eastAsia="黑体"/>
      <w:spacing w:val="85"/>
      <w:w w:val="100"/>
      <w:position w:val="3"/>
      <w:sz w:val="28"/>
      <w:szCs w:val="28"/>
    </w:rPr>
  </w:style>
  <w:style w:type="character" w:customStyle="1" w:styleId="45">
    <w:name w:val="首示例 Char"/>
    <w:link w:val="46"/>
    <w:qFormat/>
    <w:uiPriority w:val="0"/>
    <w:rPr>
      <w:rFonts w:ascii="宋体" w:hAnsi="宋体"/>
      <w:kern w:val="2"/>
      <w:sz w:val="18"/>
      <w:szCs w:val="18"/>
      <w:lang w:val="en-US" w:eastAsia="zh-CN" w:bidi="ar-SA"/>
    </w:rPr>
  </w:style>
  <w:style w:type="paragraph" w:customStyle="1" w:styleId="46">
    <w:name w:val="首示例"/>
    <w:next w:val="23"/>
    <w:link w:val="45"/>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附录公式 Char"/>
    <w:basedOn w:val="42"/>
    <w:link w:val="48"/>
    <w:qFormat/>
    <w:uiPriority w:val="0"/>
  </w:style>
  <w:style w:type="paragraph" w:customStyle="1" w:styleId="48">
    <w:name w:val="附录公式"/>
    <w:basedOn w:val="23"/>
    <w:next w:val="23"/>
    <w:link w:val="47"/>
    <w:qFormat/>
    <w:uiPriority w:val="0"/>
  </w:style>
  <w:style w:type="paragraph" w:customStyle="1" w:styleId="49">
    <w:name w:val="正文公式编号制表符"/>
    <w:basedOn w:val="23"/>
    <w:next w:val="23"/>
    <w:qFormat/>
    <w:uiPriority w:val="0"/>
    <w:pPr>
      <w:ind w:firstLine="0" w:firstLineChars="0"/>
    </w:pPr>
  </w:style>
  <w:style w:type="paragraph" w:customStyle="1" w:styleId="50">
    <w:name w:val="封面标准英文名称"/>
    <w:basedOn w:val="51"/>
    <w:qFormat/>
    <w:uiPriority w:val="0"/>
    <w:pPr>
      <w:spacing w:before="370" w:line="400" w:lineRule="exact"/>
    </w:pPr>
    <w:rPr>
      <w:rFonts w:ascii="Times New Roman"/>
      <w:sz w:val="28"/>
      <w:szCs w:val="28"/>
    </w:rPr>
  </w:style>
  <w:style w:type="paragraph" w:customStyle="1" w:styleId="5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2">
    <w:name w:val="封面标准文稿编辑信息2"/>
    <w:basedOn w:val="53"/>
    <w:qFormat/>
    <w:uiPriority w:val="0"/>
    <w:pPr>
      <w:framePr w:y="4469"/>
    </w:pPr>
  </w:style>
  <w:style w:type="paragraph" w:customStyle="1" w:styleId="53">
    <w:name w:val="封面标准文稿编辑信息"/>
    <w:basedOn w:val="54"/>
    <w:qFormat/>
    <w:uiPriority w:val="0"/>
    <w:pPr>
      <w:spacing w:before="180" w:line="180" w:lineRule="exact"/>
    </w:pPr>
    <w:rPr>
      <w:sz w:val="21"/>
    </w:rPr>
  </w:style>
  <w:style w:type="paragraph" w:customStyle="1" w:styleId="54">
    <w:name w:val="封面标准文稿类别"/>
    <w:basedOn w:val="55"/>
    <w:qFormat/>
    <w:uiPriority w:val="0"/>
    <w:pPr>
      <w:spacing w:after="160" w:line="240" w:lineRule="auto"/>
    </w:pPr>
    <w:rPr>
      <w:sz w:val="24"/>
    </w:rPr>
  </w:style>
  <w:style w:type="paragraph" w:customStyle="1" w:styleId="55">
    <w:name w:val="封面一致性程度标识"/>
    <w:basedOn w:val="50"/>
    <w:qFormat/>
    <w:uiPriority w:val="0"/>
    <w:pPr>
      <w:spacing w:before="440"/>
    </w:pPr>
    <w:rPr>
      <w:rFonts w:ascii="宋体" w:eastAsia="宋体"/>
    </w:rPr>
  </w:style>
  <w:style w:type="paragraph" w:customStyle="1" w:styleId="56">
    <w:name w:val="实施日期"/>
    <w:basedOn w:val="57"/>
    <w:qFormat/>
    <w:uiPriority w:val="0"/>
    <w:pPr>
      <w:framePr w:vAnchor="page" w:hAnchor="page"/>
      <w:jc w:val="right"/>
    </w:pPr>
  </w:style>
  <w:style w:type="paragraph" w:customStyle="1" w:styleId="5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58">
    <w:name w:val="附录三级条标题"/>
    <w:basedOn w:val="59"/>
    <w:next w:val="23"/>
    <w:qFormat/>
    <w:uiPriority w:val="0"/>
    <w:pPr>
      <w:numPr>
        <w:ilvl w:val="4"/>
        <w:numId w:val="3"/>
      </w:numPr>
      <w:tabs>
        <w:tab w:val="left" w:pos="360"/>
      </w:tabs>
      <w:outlineLvl w:val="4"/>
    </w:pPr>
  </w:style>
  <w:style w:type="paragraph" w:customStyle="1" w:styleId="59">
    <w:name w:val="附录二级条标题"/>
    <w:basedOn w:val="1"/>
    <w:next w:val="23"/>
    <w:qFormat/>
    <w:uiPriority w:val="0"/>
    <w:pPr>
      <w:widowControl/>
      <w:numPr>
        <w:ilvl w:val="3"/>
        <w:numId w:val="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五级无"/>
    <w:basedOn w:val="62"/>
    <w:qFormat/>
    <w:uiPriority w:val="0"/>
    <w:pPr>
      <w:spacing w:before="0" w:beforeLines="0" w:after="0" w:afterLines="0"/>
    </w:pPr>
    <w:rPr>
      <w:rFonts w:ascii="宋体" w:eastAsia="宋体"/>
    </w:rPr>
  </w:style>
  <w:style w:type="paragraph" w:customStyle="1" w:styleId="62">
    <w:name w:val="五级条标题"/>
    <w:basedOn w:val="63"/>
    <w:next w:val="23"/>
    <w:qFormat/>
    <w:uiPriority w:val="0"/>
    <w:pPr>
      <w:numPr>
        <w:ilvl w:val="5"/>
        <w:numId w:val="4"/>
      </w:numPr>
      <w:outlineLvl w:val="6"/>
    </w:pPr>
  </w:style>
  <w:style w:type="paragraph" w:customStyle="1" w:styleId="63">
    <w:name w:val="四级条标题"/>
    <w:basedOn w:val="64"/>
    <w:next w:val="23"/>
    <w:qFormat/>
    <w:uiPriority w:val="0"/>
    <w:pPr>
      <w:numPr>
        <w:ilvl w:val="4"/>
        <w:numId w:val="4"/>
      </w:numPr>
      <w:outlineLvl w:val="5"/>
    </w:pPr>
  </w:style>
  <w:style w:type="paragraph" w:customStyle="1" w:styleId="64">
    <w:name w:val="三级条标题"/>
    <w:basedOn w:val="65"/>
    <w:next w:val="23"/>
    <w:qFormat/>
    <w:uiPriority w:val="0"/>
    <w:pPr>
      <w:numPr>
        <w:ilvl w:val="3"/>
        <w:numId w:val="4"/>
      </w:numPr>
      <w:outlineLvl w:val="4"/>
    </w:pPr>
  </w:style>
  <w:style w:type="paragraph" w:customStyle="1" w:styleId="65">
    <w:name w:val="二级条标题"/>
    <w:basedOn w:val="66"/>
    <w:next w:val="23"/>
    <w:qFormat/>
    <w:uiPriority w:val="0"/>
    <w:pPr>
      <w:numPr>
        <w:ilvl w:val="2"/>
        <w:numId w:val="4"/>
      </w:numPr>
      <w:spacing w:before="50" w:after="50"/>
      <w:outlineLvl w:val="3"/>
    </w:pPr>
  </w:style>
  <w:style w:type="paragraph" w:customStyle="1" w:styleId="66">
    <w:name w:val="一级条标题"/>
    <w:next w:val="23"/>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7">
    <w:name w:val="附录一级无"/>
    <w:basedOn w:val="68"/>
    <w:qFormat/>
    <w:uiPriority w:val="0"/>
    <w:pPr>
      <w:tabs>
        <w:tab w:val="left" w:pos="360"/>
      </w:tabs>
      <w:spacing w:before="0" w:beforeLines="0" w:after="0" w:afterLines="0"/>
    </w:pPr>
    <w:rPr>
      <w:rFonts w:ascii="宋体" w:eastAsia="宋体"/>
      <w:szCs w:val="21"/>
    </w:rPr>
  </w:style>
  <w:style w:type="paragraph" w:customStyle="1" w:styleId="68">
    <w:name w:val="附录一级条标题"/>
    <w:basedOn w:val="69"/>
    <w:next w:val="23"/>
    <w:qFormat/>
    <w:uiPriority w:val="0"/>
    <w:pPr>
      <w:numPr>
        <w:ilvl w:val="2"/>
        <w:numId w:val="3"/>
      </w:numPr>
      <w:tabs>
        <w:tab w:val="left" w:pos="360"/>
      </w:tabs>
      <w:autoSpaceDN w:val="0"/>
      <w:spacing w:before="50" w:beforeLines="50" w:after="50" w:afterLines="50"/>
      <w:outlineLvl w:val="2"/>
    </w:pPr>
  </w:style>
  <w:style w:type="paragraph" w:customStyle="1" w:styleId="69">
    <w:name w:val="附录章标题"/>
    <w:next w:val="23"/>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0">
    <w:name w:val="_Style 69"/>
    <w:semiHidden/>
    <w:qFormat/>
    <w:uiPriority w:val="99"/>
    <w:rPr>
      <w:rFonts w:ascii="Times New Roman" w:hAnsi="Times New Roman" w:eastAsia="宋体" w:cs="Times New Roman"/>
      <w:kern w:val="2"/>
      <w:sz w:val="21"/>
      <w:szCs w:val="24"/>
      <w:lang w:val="en-US" w:eastAsia="zh-CN" w:bidi="ar-SA"/>
    </w:rPr>
  </w:style>
  <w:style w:type="paragraph" w:customStyle="1" w:styleId="71">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72">
    <w:name w:val="章标题"/>
    <w:next w:val="23"/>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3">
    <w:name w:val="附录五级无"/>
    <w:basedOn w:val="74"/>
    <w:qFormat/>
    <w:uiPriority w:val="0"/>
    <w:pPr>
      <w:tabs>
        <w:tab w:val="left" w:pos="360"/>
      </w:tabs>
      <w:spacing w:before="0" w:beforeLines="0" w:after="0" w:afterLines="0"/>
    </w:pPr>
    <w:rPr>
      <w:rFonts w:ascii="宋体" w:eastAsia="宋体"/>
      <w:szCs w:val="21"/>
    </w:rPr>
  </w:style>
  <w:style w:type="paragraph" w:customStyle="1" w:styleId="74">
    <w:name w:val="附录五级条标题"/>
    <w:basedOn w:val="75"/>
    <w:next w:val="23"/>
    <w:qFormat/>
    <w:uiPriority w:val="0"/>
    <w:pPr>
      <w:numPr>
        <w:ilvl w:val="6"/>
        <w:numId w:val="3"/>
      </w:numPr>
      <w:tabs>
        <w:tab w:val="left" w:pos="360"/>
      </w:tabs>
      <w:outlineLvl w:val="6"/>
    </w:pPr>
  </w:style>
  <w:style w:type="paragraph" w:customStyle="1" w:styleId="75">
    <w:name w:val="附录四级条标题"/>
    <w:basedOn w:val="58"/>
    <w:next w:val="23"/>
    <w:qFormat/>
    <w:uiPriority w:val="0"/>
    <w:pPr>
      <w:numPr>
        <w:ilvl w:val="5"/>
        <w:numId w:val="3"/>
      </w:numPr>
      <w:outlineLvl w:val="5"/>
    </w:pPr>
  </w:style>
  <w:style w:type="paragraph" w:customStyle="1" w:styleId="7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77">
    <w:name w:val="条文脚注"/>
    <w:basedOn w:val="24"/>
    <w:qFormat/>
    <w:uiPriority w:val="0"/>
    <w:pPr>
      <w:numPr>
        <w:ilvl w:val="0"/>
        <w:numId w:val="0"/>
      </w:numPr>
      <w:jc w:val="both"/>
    </w:pPr>
    <w:rPr>
      <w:rFonts w:ascii="宋体"/>
    </w:rPr>
  </w:style>
  <w:style w:type="paragraph" w:customStyle="1" w:styleId="78">
    <w:name w:val="正文表标题"/>
    <w:next w:val="23"/>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9">
    <w:name w:val="附录三级无"/>
    <w:basedOn w:val="58"/>
    <w:qFormat/>
    <w:uiPriority w:val="0"/>
    <w:pPr>
      <w:tabs>
        <w:tab w:val="clear" w:pos="360"/>
      </w:tabs>
      <w:spacing w:before="0" w:beforeLines="0" w:after="0" w:afterLines="0"/>
    </w:pPr>
    <w:rPr>
      <w:rFonts w:ascii="宋体" w:eastAsia="宋体"/>
      <w:szCs w:val="21"/>
    </w:rPr>
  </w:style>
  <w:style w:type="paragraph" w:customStyle="1" w:styleId="80">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8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2">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83">
    <w:name w:val="示例后文字"/>
    <w:basedOn w:val="23"/>
    <w:next w:val="23"/>
    <w:qFormat/>
    <w:uiPriority w:val="0"/>
    <w:pPr>
      <w:ind w:firstLine="360"/>
    </w:pPr>
    <w:rPr>
      <w:sz w:val="18"/>
    </w:rPr>
  </w:style>
  <w:style w:type="paragraph" w:customStyle="1" w:styleId="8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8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6">
    <w:name w:val="封面标准名称2"/>
    <w:basedOn w:val="51"/>
    <w:qFormat/>
    <w:uiPriority w:val="0"/>
    <w:pPr>
      <w:framePr w:y="4469"/>
      <w:spacing w:before="630" w:beforeLines="630"/>
    </w:pPr>
  </w:style>
  <w:style w:type="paragraph" w:customStyle="1" w:styleId="87">
    <w:name w:val="二级无"/>
    <w:basedOn w:val="65"/>
    <w:qFormat/>
    <w:uiPriority w:val="0"/>
    <w:pPr>
      <w:spacing w:before="0" w:beforeLines="0" w:after="0" w:afterLines="0"/>
      <w:ind w:left="0" w:firstLine="0"/>
    </w:pPr>
    <w:rPr>
      <w:rFonts w:ascii="宋体" w:eastAsia="宋体"/>
    </w:rPr>
  </w:style>
  <w:style w:type="paragraph" w:customStyle="1" w:styleId="88">
    <w:name w:val="附录标题"/>
    <w:basedOn w:val="23"/>
    <w:next w:val="23"/>
    <w:qFormat/>
    <w:uiPriority w:val="0"/>
    <w:pPr>
      <w:ind w:firstLine="0" w:firstLineChars="0"/>
      <w:jc w:val="center"/>
    </w:pPr>
    <w:rPr>
      <w:rFonts w:ascii="黑体" w:eastAsia="黑体"/>
    </w:rPr>
  </w:style>
  <w:style w:type="paragraph" w:customStyle="1" w:styleId="8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90">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1">
    <w:name w:val="封面正文"/>
    <w:qFormat/>
    <w:uiPriority w:val="0"/>
    <w:pPr>
      <w:jc w:val="both"/>
    </w:pPr>
    <w:rPr>
      <w:rFonts w:ascii="Times New Roman" w:hAnsi="Times New Roman" w:eastAsia="宋体" w:cs="Times New Roman"/>
      <w:lang w:val="en-US" w:eastAsia="zh-CN" w:bidi="ar-SA"/>
    </w:rPr>
  </w:style>
  <w:style w:type="paragraph" w:customStyle="1" w:styleId="92">
    <w:name w:val="其他标准标志"/>
    <w:basedOn w:val="93"/>
    <w:qFormat/>
    <w:uiPriority w:val="0"/>
    <w:pPr>
      <w:framePr w:w="6101" w:vAnchor="page" w:hAnchor="page" w:x="4673" w:y="942"/>
    </w:pPr>
    <w:rPr>
      <w:w w:val="130"/>
    </w:rPr>
  </w:style>
  <w:style w:type="paragraph" w:customStyle="1" w:styleId="9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94">
    <w:name w:val="其他发布日期"/>
    <w:basedOn w:val="57"/>
    <w:qFormat/>
    <w:uiPriority w:val="0"/>
    <w:pPr>
      <w:framePr w:vAnchor="page" w:hAnchor="page" w:x="1419"/>
    </w:pPr>
  </w:style>
  <w:style w:type="paragraph" w:customStyle="1" w:styleId="9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6">
    <w:name w:val="字母编号列项（一级）"/>
    <w:qFormat/>
    <w:uiPriority w:val="0"/>
    <w:pPr>
      <w:numPr>
        <w:ilvl w:val="0"/>
        <w:numId w:val="8"/>
      </w:numPr>
      <w:jc w:val="both"/>
    </w:pPr>
    <w:rPr>
      <w:rFonts w:ascii="宋体" w:hAnsi="Times New Roman" w:eastAsia="宋体" w:cs="Times New Roman"/>
      <w:sz w:val="21"/>
      <w:lang w:val="en-US" w:eastAsia="zh-CN" w:bidi="ar-SA"/>
    </w:rPr>
  </w:style>
  <w:style w:type="paragraph" w:customStyle="1" w:styleId="97">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8">
    <w:name w:val="数字编号列项（二级）"/>
    <w:qFormat/>
    <w:uiPriority w:val="0"/>
    <w:pPr>
      <w:numPr>
        <w:ilvl w:val="1"/>
        <w:numId w:val="8"/>
      </w:numPr>
      <w:jc w:val="both"/>
    </w:pPr>
    <w:rPr>
      <w:rFonts w:ascii="宋体" w:hAnsi="Times New Roman" w:eastAsia="宋体" w:cs="Times New Roman"/>
      <w:sz w:val="21"/>
      <w:lang w:val="en-US" w:eastAsia="zh-CN" w:bidi="ar-SA"/>
    </w:rPr>
  </w:style>
  <w:style w:type="paragraph" w:customStyle="1" w:styleId="99">
    <w:name w:val="示例"/>
    <w:next w:val="60"/>
    <w:qFormat/>
    <w:uiPriority w:val="0"/>
    <w:pPr>
      <w:widowControl w:val="0"/>
      <w:numPr>
        <w:ilvl w:val="0"/>
        <w:numId w:val="9"/>
      </w:numPr>
      <w:jc w:val="both"/>
    </w:pPr>
    <w:rPr>
      <w:rFonts w:ascii="宋体" w:hAnsi="Times New Roman" w:eastAsia="宋体" w:cs="Times New Roman"/>
      <w:sz w:val="18"/>
      <w:szCs w:val="18"/>
      <w:lang w:val="en-US" w:eastAsia="zh-CN" w:bidi="ar-SA"/>
    </w:rPr>
  </w:style>
  <w:style w:type="paragraph" w:customStyle="1" w:styleId="100">
    <w:name w:val="列项◆（三级）"/>
    <w:basedOn w:val="1"/>
    <w:qFormat/>
    <w:uiPriority w:val="0"/>
    <w:pPr>
      <w:numPr>
        <w:ilvl w:val="2"/>
        <w:numId w:val="6"/>
      </w:numPr>
    </w:pPr>
    <w:rPr>
      <w:rFonts w:ascii="宋体"/>
      <w:szCs w:val="21"/>
    </w:rPr>
  </w:style>
  <w:style w:type="paragraph" w:customStyle="1" w:styleId="10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2">
    <w:name w:val="标准书眉一"/>
    <w:qFormat/>
    <w:uiPriority w:val="0"/>
    <w:pPr>
      <w:jc w:val="both"/>
    </w:pPr>
    <w:rPr>
      <w:rFonts w:ascii="Times New Roman" w:hAnsi="Times New Roman" w:eastAsia="宋体" w:cs="Times New Roman"/>
      <w:lang w:val="en-US" w:eastAsia="zh-CN" w:bidi="ar-SA"/>
    </w:rPr>
  </w:style>
  <w:style w:type="paragraph" w:customStyle="1" w:styleId="103">
    <w:name w:val="封面标准英文名称2"/>
    <w:basedOn w:val="50"/>
    <w:qFormat/>
    <w:uiPriority w:val="0"/>
    <w:pPr>
      <w:framePr w:y="4469"/>
    </w:pPr>
  </w:style>
  <w:style w:type="paragraph" w:customStyle="1" w:styleId="104">
    <w:name w:val="示例×："/>
    <w:basedOn w:val="72"/>
    <w:qFormat/>
    <w:uiPriority w:val="0"/>
    <w:pPr>
      <w:numPr>
        <w:ilvl w:val="0"/>
        <w:numId w:val="10"/>
      </w:numPr>
      <w:spacing w:before="0" w:beforeLines="0" w:after="0" w:afterLines="0"/>
      <w:outlineLvl w:val="9"/>
    </w:pPr>
    <w:rPr>
      <w:rFonts w:ascii="宋体" w:eastAsia="宋体"/>
      <w:sz w:val="18"/>
      <w:szCs w:val="18"/>
    </w:rPr>
  </w:style>
  <w:style w:type="paragraph" w:customStyle="1" w:styleId="105">
    <w:name w:val="编号列项（三级）"/>
    <w:qFormat/>
    <w:uiPriority w:val="0"/>
    <w:pPr>
      <w:numPr>
        <w:ilvl w:val="2"/>
        <w:numId w:val="8"/>
      </w:numPr>
    </w:pPr>
    <w:rPr>
      <w:rFonts w:ascii="宋体" w:hAnsi="Times New Roman" w:eastAsia="宋体" w:cs="Times New Roman"/>
      <w:sz w:val="21"/>
      <w:lang w:val="en-US" w:eastAsia="zh-CN" w:bidi="ar-SA"/>
    </w:rPr>
  </w:style>
  <w:style w:type="paragraph" w:customStyle="1" w:styleId="106">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07">
    <w:name w:val="四级无"/>
    <w:basedOn w:val="63"/>
    <w:qFormat/>
    <w:uiPriority w:val="0"/>
    <w:pPr>
      <w:spacing w:before="0" w:beforeLines="0" w:after="0" w:afterLines="0"/>
    </w:pPr>
    <w:rPr>
      <w:rFonts w:ascii="宋体" w:eastAsia="宋体"/>
    </w:rPr>
  </w:style>
  <w:style w:type="paragraph" w:customStyle="1" w:styleId="10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9">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其他发布部门"/>
    <w:basedOn w:val="97"/>
    <w:qFormat/>
    <w:uiPriority w:val="0"/>
    <w:pPr>
      <w:framePr w:y="15310"/>
      <w:spacing w:line="0" w:lineRule="atLeast"/>
    </w:pPr>
    <w:rPr>
      <w:rFonts w:ascii="黑体" w:eastAsia="黑体"/>
      <w:b w:val="0"/>
    </w:rPr>
  </w:style>
  <w:style w:type="paragraph" w:customStyle="1" w:styleId="111">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12">
    <w:name w:val="标准书眉_偶数页"/>
    <w:basedOn w:val="108"/>
    <w:next w:val="1"/>
    <w:qFormat/>
    <w:uiPriority w:val="0"/>
    <w:pPr>
      <w:jc w:val="left"/>
    </w:pPr>
    <w:rPr>
      <w:rFonts w:ascii="黑体" w:eastAsia="黑体"/>
    </w:rPr>
  </w:style>
  <w:style w:type="paragraph" w:customStyle="1" w:styleId="113">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4">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15">
    <w:name w:val="正文图标题"/>
    <w:next w:val="23"/>
    <w:qFormat/>
    <w:uiPriority w:val="0"/>
    <w:pPr>
      <w:numPr>
        <w:ilvl w:val="0"/>
        <w:numId w:val="1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终结线"/>
    <w:basedOn w:val="1"/>
    <w:qFormat/>
    <w:uiPriority w:val="0"/>
    <w:pPr>
      <w:framePr w:hSpace="181" w:vSpace="181" w:wrap="around" w:vAnchor="text" w:hAnchor="margin" w:xAlign="center" w:y="285"/>
    </w:pPr>
  </w:style>
  <w:style w:type="paragraph" w:customStyle="1" w:styleId="118">
    <w:name w:val="附录四级无"/>
    <w:basedOn w:val="75"/>
    <w:qFormat/>
    <w:uiPriority w:val="0"/>
    <w:pPr>
      <w:tabs>
        <w:tab w:val="clear" w:pos="360"/>
      </w:tabs>
      <w:spacing w:before="0" w:beforeLines="0" w:after="0" w:afterLines="0"/>
    </w:pPr>
    <w:rPr>
      <w:rFonts w:ascii="宋体" w:eastAsia="宋体"/>
      <w:szCs w:val="21"/>
    </w:rPr>
  </w:style>
  <w:style w:type="paragraph" w:customStyle="1" w:styleId="119">
    <w:name w:val="注：（正文）"/>
    <w:basedOn w:val="120"/>
    <w:next w:val="23"/>
    <w:qFormat/>
    <w:uiPriority w:val="0"/>
  </w:style>
  <w:style w:type="paragraph" w:customStyle="1" w:styleId="120">
    <w:name w:val="注："/>
    <w:next w:val="23"/>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21">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3">
    <w:name w:val="图表脚注说明"/>
    <w:basedOn w:val="1"/>
    <w:qFormat/>
    <w:uiPriority w:val="0"/>
    <w:pPr>
      <w:numPr>
        <w:ilvl w:val="0"/>
        <w:numId w:val="14"/>
      </w:numPr>
    </w:pPr>
    <w:rPr>
      <w:rFonts w:ascii="宋体"/>
      <w:sz w:val="18"/>
      <w:szCs w:val="18"/>
    </w:rPr>
  </w:style>
  <w:style w:type="paragraph" w:customStyle="1" w:styleId="124">
    <w:name w:val="其他实施日期"/>
    <w:basedOn w:val="56"/>
    <w:qFormat/>
    <w:uiPriority w:val="0"/>
  </w:style>
  <w:style w:type="paragraph" w:customStyle="1" w:styleId="125">
    <w:name w:val="附录表标题"/>
    <w:basedOn w:val="1"/>
    <w:next w:val="23"/>
    <w:qFormat/>
    <w:uiPriority w:val="0"/>
    <w:pPr>
      <w:numPr>
        <w:ilvl w:val="1"/>
        <w:numId w:val="15"/>
      </w:numPr>
      <w:tabs>
        <w:tab w:val="left" w:pos="180"/>
      </w:tabs>
      <w:spacing w:before="50" w:beforeLines="50" w:after="50" w:afterLines="50"/>
      <w:jc w:val="center"/>
    </w:pPr>
    <w:rPr>
      <w:rFonts w:ascii="黑体" w:eastAsia="黑体"/>
      <w:szCs w:val="21"/>
    </w:rPr>
  </w:style>
  <w:style w:type="paragraph" w:customStyle="1" w:styleId="126">
    <w:name w:val="附录二级无"/>
    <w:basedOn w:val="59"/>
    <w:qFormat/>
    <w:uiPriority w:val="0"/>
    <w:pPr>
      <w:tabs>
        <w:tab w:val="clear" w:pos="360"/>
      </w:tabs>
      <w:spacing w:before="0" w:beforeLines="0" w:after="0" w:afterLines="0"/>
    </w:pPr>
    <w:rPr>
      <w:rFonts w:ascii="宋体" w:eastAsia="宋体"/>
      <w:szCs w:val="21"/>
    </w:rPr>
  </w:style>
  <w:style w:type="paragraph" w:customStyle="1" w:styleId="127">
    <w:name w:val="附录图标题"/>
    <w:basedOn w:val="1"/>
    <w:next w:val="23"/>
    <w:qFormat/>
    <w:uiPriority w:val="0"/>
    <w:pPr>
      <w:numPr>
        <w:ilvl w:val="1"/>
        <w:numId w:val="16"/>
      </w:numPr>
      <w:tabs>
        <w:tab w:val="left" w:pos="363"/>
      </w:tabs>
      <w:spacing w:before="50" w:beforeLines="50" w:after="50" w:afterLines="50"/>
      <w:ind w:left="0" w:firstLine="0"/>
      <w:jc w:val="center"/>
    </w:pPr>
    <w:rPr>
      <w:rFonts w:ascii="黑体" w:eastAsia="黑体"/>
      <w:szCs w:val="21"/>
    </w:rPr>
  </w:style>
  <w:style w:type="paragraph" w:customStyle="1" w:styleId="128">
    <w:name w:val="一级无"/>
    <w:basedOn w:val="66"/>
    <w:qFormat/>
    <w:uiPriority w:val="0"/>
    <w:pPr>
      <w:spacing w:before="0" w:beforeLines="0" w:after="0" w:afterLines="0"/>
    </w:pPr>
    <w:rPr>
      <w:rFonts w:ascii="宋体" w:eastAsia="宋体"/>
    </w:rPr>
  </w:style>
  <w:style w:type="paragraph" w:customStyle="1" w:styleId="129">
    <w:name w:val="封面一致性程度标识2"/>
    <w:basedOn w:val="55"/>
    <w:qFormat/>
    <w:uiPriority w:val="0"/>
    <w:pPr>
      <w:framePr w:y="4469"/>
    </w:pPr>
  </w:style>
  <w:style w:type="paragraph" w:customStyle="1" w:styleId="13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1">
    <w:name w:val="图标脚注说明"/>
    <w:basedOn w:val="23"/>
    <w:qFormat/>
    <w:uiPriority w:val="0"/>
    <w:pPr>
      <w:ind w:left="840" w:hanging="420" w:firstLineChars="0"/>
    </w:pPr>
    <w:rPr>
      <w:sz w:val="18"/>
      <w:szCs w:val="18"/>
    </w:rPr>
  </w:style>
  <w:style w:type="paragraph" w:customStyle="1" w:styleId="132">
    <w:name w:val="附录标识"/>
    <w:basedOn w:val="1"/>
    <w:next w:val="23"/>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3">
    <w:name w:val="三级无"/>
    <w:basedOn w:val="64"/>
    <w:qFormat/>
    <w:uiPriority w:val="0"/>
    <w:pPr>
      <w:spacing w:before="0" w:beforeLines="0" w:after="0" w:afterLines="0"/>
    </w:pPr>
    <w:rPr>
      <w:rFonts w:ascii="宋体" w:eastAsia="宋体"/>
    </w:rPr>
  </w:style>
  <w:style w:type="paragraph" w:customStyle="1" w:styleId="134">
    <w:name w:val="封面标准文稿类别2"/>
    <w:basedOn w:val="54"/>
    <w:qFormat/>
    <w:uiPriority w:val="0"/>
    <w:pPr>
      <w:framePr w:y="4469"/>
    </w:pPr>
  </w:style>
  <w:style w:type="paragraph" w:customStyle="1" w:styleId="135">
    <w:name w:val="注×：（正文）"/>
    <w:qFormat/>
    <w:uiPriority w:val="0"/>
    <w:pPr>
      <w:numPr>
        <w:ilvl w:val="0"/>
        <w:numId w:val="17"/>
      </w:numPr>
      <w:jc w:val="both"/>
    </w:pPr>
    <w:rPr>
      <w:rFonts w:ascii="宋体" w:hAnsi="Times New Roman" w:eastAsia="宋体" w:cs="Times New Roman"/>
      <w:sz w:val="18"/>
      <w:szCs w:val="18"/>
      <w:lang w:val="en-US" w:eastAsia="zh-CN" w:bidi="ar-SA"/>
    </w:rPr>
  </w:style>
  <w:style w:type="paragraph" w:customStyle="1" w:styleId="136">
    <w:name w:val="附录图标号"/>
    <w:basedOn w:val="1"/>
    <w:qFormat/>
    <w:uiPriority w:val="0"/>
    <w:pPr>
      <w:keepNext/>
      <w:pageBreakBefore/>
      <w:widowControl/>
      <w:numPr>
        <w:ilvl w:val="0"/>
        <w:numId w:val="16"/>
      </w:numPr>
      <w:spacing w:line="14" w:lineRule="exact"/>
      <w:ind w:left="0" w:firstLine="363"/>
      <w:jc w:val="center"/>
      <w:outlineLvl w:val="0"/>
    </w:pPr>
    <w:rPr>
      <w:color w:val="FFFFFF"/>
    </w:rPr>
  </w:style>
  <w:style w:type="paragraph" w:customStyle="1" w:styleId="13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8">
    <w:name w:val="附录表标号"/>
    <w:basedOn w:val="1"/>
    <w:next w:val="23"/>
    <w:qFormat/>
    <w:uiPriority w:val="0"/>
    <w:pPr>
      <w:numPr>
        <w:ilvl w:val="0"/>
        <w:numId w:val="15"/>
      </w:numPr>
      <w:tabs>
        <w:tab w:val="clear" w:pos="0"/>
      </w:tabs>
      <w:spacing w:line="14" w:lineRule="exact"/>
      <w:ind w:left="811" w:hanging="448"/>
      <w:jc w:val="center"/>
      <w:outlineLvl w:val="0"/>
    </w:pPr>
    <w:rPr>
      <w:color w:val="FFFFFF"/>
    </w:rPr>
  </w:style>
  <w:style w:type="paragraph" w:customStyle="1" w:styleId="139">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4739</Words>
  <Characters>5770</Characters>
  <Lines>52</Lines>
  <Paragraphs>14</Paragraphs>
  <TotalTime>1</TotalTime>
  <ScaleCrop>false</ScaleCrop>
  <LinksUpToDate>false</LinksUpToDate>
  <CharactersWithSpaces>6291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2021-03-09T08:01:00Z</dcterms:created>
  <dc:creator>yj</dc:creator>
  <cp:lastModifiedBy>陈星瞳</cp:lastModifiedBy>
  <cp:lastPrinted>2021-04-06T07:56:00Z</cp:lastPrinted>
  <dcterms:modified xsi:type="dcterms:W3CDTF">2024-09-14T01:38:03Z</dcterms:modified>
  <dc:title>标准名称</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C97A0424BCD448F9B6DB5BE223FCF51D_13</vt:lpwstr>
  </property>
</Properties>
</file>